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4210" w14:textId="77777777" w:rsidR="009B250C" w:rsidRPr="00F36980" w:rsidRDefault="009B250C" w:rsidP="009B250C">
      <w:pPr>
        <w:pStyle w:val="Default"/>
        <w:spacing w:before="0" w:line="20" w:lineRule="atLeast"/>
        <w:ind w:right="0"/>
        <w:jc w:val="both"/>
        <w:rPr>
          <w:rFonts w:ascii="IBM Plex Serif" w:hAnsi="IBM Plex Serif"/>
          <w:noProof/>
          <w:sz w:val="20"/>
          <w:szCs w:val="20"/>
          <w:shd w:val="clear" w:color="auto" w:fill="FFFFFF"/>
          <w:lang w:val="et-EE"/>
        </w:rPr>
      </w:pPr>
    </w:p>
    <w:p w14:paraId="00B73661" w14:textId="41271EAC" w:rsidR="009B250C" w:rsidRPr="00F36980" w:rsidRDefault="009B250C" w:rsidP="009B250C">
      <w:pPr>
        <w:pStyle w:val="Default"/>
        <w:spacing w:before="0" w:line="20" w:lineRule="atLeast"/>
        <w:ind w:right="0"/>
        <w:jc w:val="both"/>
        <w:rPr>
          <w:rFonts w:ascii="IBM Plex Serif" w:hAnsi="IBM Plex Serif"/>
          <w:b/>
          <w:bCs/>
          <w:noProof/>
          <w:sz w:val="20"/>
          <w:szCs w:val="20"/>
          <w:shd w:val="clear" w:color="auto" w:fill="FFFFFF"/>
          <w:lang w:val="et-EE"/>
        </w:rPr>
      </w:pPr>
      <w:r w:rsidRPr="00F36980">
        <w:rPr>
          <w:rFonts w:ascii="IBM Plex Serif" w:hAnsi="IBM Plex Serif"/>
          <w:b/>
          <w:bCs/>
          <w:noProof/>
          <w:sz w:val="20"/>
          <w:szCs w:val="20"/>
          <w:shd w:val="clear" w:color="auto" w:fill="FFFFFF"/>
          <w:lang w:val="et-EE"/>
        </w:rPr>
        <w:t>Kase detailplaneering</w:t>
      </w:r>
      <w:r w:rsidR="007448F8">
        <w:rPr>
          <w:rFonts w:ascii="IBM Plex Serif" w:hAnsi="IBM Plex Serif"/>
          <w:b/>
          <w:bCs/>
          <w:noProof/>
          <w:sz w:val="20"/>
          <w:szCs w:val="20"/>
          <w:shd w:val="clear" w:color="auto" w:fill="FFFFFF"/>
          <w:lang w:val="et-EE"/>
        </w:rPr>
        <w:t>u algatamise asjaolud</w:t>
      </w:r>
    </w:p>
    <w:p w14:paraId="488E880F" w14:textId="77777777" w:rsidR="00226823" w:rsidRPr="00F36980" w:rsidRDefault="00226823" w:rsidP="009B250C">
      <w:pPr>
        <w:pStyle w:val="Default"/>
        <w:spacing w:before="0" w:line="20" w:lineRule="atLeast"/>
        <w:ind w:right="0"/>
        <w:jc w:val="both"/>
        <w:rPr>
          <w:rFonts w:ascii="IBM Plex Serif" w:hAnsi="IBM Plex Serif"/>
          <w:noProof/>
          <w:sz w:val="20"/>
          <w:szCs w:val="20"/>
          <w:shd w:val="clear" w:color="auto" w:fill="FFFFFF"/>
          <w:lang w:val="et-EE"/>
        </w:rPr>
      </w:pPr>
    </w:p>
    <w:p w14:paraId="07FCECEE" w14:textId="13355980" w:rsidR="009B250C" w:rsidRPr="00F36980" w:rsidRDefault="009B250C" w:rsidP="009B250C">
      <w:pPr>
        <w:pStyle w:val="Default"/>
        <w:spacing w:before="0" w:line="20" w:lineRule="atLeast"/>
        <w:ind w:right="0"/>
        <w:jc w:val="both"/>
        <w:rPr>
          <w:rFonts w:ascii="IBM Plex Serif" w:eastAsia="IBM Plex Sans Regular" w:hAnsi="IBM Plex Serif" w:cs="IBM Plex Sans Regular"/>
          <w:b/>
          <w:bCs/>
          <w:noProof/>
          <w:sz w:val="20"/>
          <w:szCs w:val="20"/>
          <w:shd w:val="clear" w:color="auto" w:fill="FFFFFF"/>
          <w:lang w:val="et-EE"/>
        </w:rPr>
      </w:pPr>
      <w:r w:rsidRPr="00F36980">
        <w:rPr>
          <w:rFonts w:ascii="IBM Plex Serif" w:hAnsi="IBM Plex Serif"/>
          <w:b/>
          <w:bCs/>
          <w:noProof/>
          <w:sz w:val="20"/>
          <w:szCs w:val="20"/>
          <w:shd w:val="clear" w:color="auto" w:fill="FFFFFF"/>
          <w:lang w:val="et-EE"/>
        </w:rPr>
        <w:t>I Olemasolev olukord ja mõjuala seosed</w:t>
      </w:r>
    </w:p>
    <w:p w14:paraId="0D1A21F5" w14:textId="41B72EA0" w:rsidR="009B250C" w:rsidRPr="00F36980" w:rsidRDefault="009B250C"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hAnsi="IBM Plex Serif"/>
          <w:noProof/>
          <w:sz w:val="20"/>
          <w:szCs w:val="20"/>
          <w:shd w:val="clear" w:color="auto" w:fill="FFFFFF"/>
          <w:lang w:val="et-EE"/>
        </w:rPr>
        <w:t xml:space="preserve">Kase katastriüksus paikneb hajaasustuses metsa-, põllu- ja rohumaal ja on hoonestamata. Kõlvikuliselt jaguneb planeeritav ala </w:t>
      </w:r>
      <w:r w:rsidR="0053698D" w:rsidRPr="00F36980">
        <w:rPr>
          <w:rFonts w:ascii="IBM Plex Serif" w:hAnsi="IBM Plex Serif"/>
          <w:noProof/>
          <w:sz w:val="20"/>
          <w:szCs w:val="20"/>
          <w:shd w:val="clear" w:color="auto" w:fill="FFFFFF"/>
          <w:lang w:val="et-EE"/>
        </w:rPr>
        <w:t>3453</w:t>
      </w:r>
      <w:r w:rsidRPr="00F36980">
        <w:rPr>
          <w:rFonts w:ascii="IBM Plex Serif" w:hAnsi="IBM Plex Serif"/>
          <w:noProof/>
          <w:sz w:val="20"/>
          <w:szCs w:val="20"/>
          <w:shd w:val="clear" w:color="auto" w:fill="FFFFFF"/>
          <w:lang w:val="et-EE"/>
        </w:rPr>
        <w:t xml:space="preserve"> m² ulatuses haritavaks maaks,</w:t>
      </w:r>
      <w:r w:rsidR="0053698D" w:rsidRPr="00F36980">
        <w:rPr>
          <w:rFonts w:ascii="IBM Plex Serif" w:hAnsi="IBM Plex Serif"/>
          <w:noProof/>
          <w:sz w:val="20"/>
          <w:szCs w:val="20"/>
          <w:shd w:val="clear" w:color="auto" w:fill="FFFFFF"/>
          <w:lang w:val="et-EE"/>
        </w:rPr>
        <w:t xml:space="preserve"> 2921 m² </w:t>
      </w:r>
      <w:r w:rsidRPr="00F36980">
        <w:rPr>
          <w:rFonts w:ascii="IBM Plex Serif" w:hAnsi="IBM Plex Serif"/>
          <w:noProof/>
          <w:sz w:val="20"/>
          <w:szCs w:val="20"/>
          <w:shd w:val="clear" w:color="auto" w:fill="FFFFFF"/>
          <w:lang w:val="et-EE"/>
        </w:rPr>
        <w:t>looduslikuks rohumaaks,</w:t>
      </w:r>
      <w:r w:rsidR="0053698D" w:rsidRPr="00F36980">
        <w:rPr>
          <w:rFonts w:ascii="IBM Plex Serif" w:hAnsi="IBM Plex Serif"/>
          <w:noProof/>
          <w:sz w:val="20"/>
          <w:szCs w:val="20"/>
          <w:shd w:val="clear" w:color="auto" w:fill="FFFFFF"/>
          <w:lang w:val="et-EE"/>
        </w:rPr>
        <w:t xml:space="preserve"> 14517 m²</w:t>
      </w:r>
      <w:r w:rsidRPr="00F36980">
        <w:rPr>
          <w:rFonts w:ascii="IBM Plex Serif" w:hAnsi="IBM Plex Serif"/>
          <w:noProof/>
          <w:sz w:val="20"/>
          <w:szCs w:val="20"/>
          <w:shd w:val="clear" w:color="auto" w:fill="FFFFFF"/>
          <w:lang w:val="et-EE"/>
        </w:rPr>
        <w:t xml:space="preserve"> metsamaaks ja </w:t>
      </w:r>
      <w:r w:rsidR="0053698D" w:rsidRPr="00F36980">
        <w:rPr>
          <w:rFonts w:ascii="IBM Plex Serif" w:hAnsi="IBM Plex Serif"/>
          <w:noProof/>
          <w:sz w:val="20"/>
          <w:szCs w:val="20"/>
          <w:shd w:val="clear" w:color="auto" w:fill="FFFFFF"/>
          <w:lang w:val="et-EE"/>
        </w:rPr>
        <w:t>2710 m²</w:t>
      </w:r>
      <w:r w:rsidRPr="00F36980">
        <w:rPr>
          <w:rFonts w:ascii="IBM Plex Serif" w:hAnsi="IBM Plex Serif"/>
          <w:noProof/>
          <w:sz w:val="20"/>
          <w:szCs w:val="20"/>
          <w:shd w:val="clear" w:color="auto" w:fill="FFFFFF"/>
          <w:lang w:val="et-EE"/>
        </w:rPr>
        <w:t xml:space="preserve"> ulatuses muuks maaks. Lähim elamu asub </w:t>
      </w:r>
      <w:r w:rsidR="00B700AC" w:rsidRPr="00F36980">
        <w:rPr>
          <w:rFonts w:ascii="IBM Plex Serif" w:hAnsi="IBM Plex Serif"/>
          <w:noProof/>
          <w:sz w:val="20"/>
          <w:szCs w:val="20"/>
          <w:shd w:val="clear" w:color="auto" w:fill="FFFFFF"/>
          <w:lang w:val="et-EE"/>
        </w:rPr>
        <w:t xml:space="preserve">planeeritavast hoonestusalast linnulennult 460 m kaugusel </w:t>
      </w:r>
      <w:r w:rsidRPr="00F36980">
        <w:rPr>
          <w:rFonts w:ascii="IBM Plex Serif" w:hAnsi="IBM Plex Serif"/>
          <w:noProof/>
          <w:sz w:val="20"/>
          <w:szCs w:val="20"/>
          <w:shd w:val="clear" w:color="auto" w:fill="FFFFFF"/>
          <w:lang w:val="et-EE"/>
        </w:rPr>
        <w:t>(</w:t>
      </w:r>
      <w:r w:rsidR="00B700AC" w:rsidRPr="00F36980">
        <w:rPr>
          <w:rFonts w:ascii="IBM Plex Serif" w:hAnsi="IBM Plex Serif"/>
          <w:noProof/>
          <w:sz w:val="20"/>
          <w:szCs w:val="20"/>
          <w:shd w:val="clear" w:color="auto" w:fill="FFFFFF"/>
          <w:lang w:val="et-EE"/>
        </w:rPr>
        <w:t xml:space="preserve">Tõnise </w:t>
      </w:r>
      <w:r w:rsidRPr="00F36980">
        <w:rPr>
          <w:rFonts w:ascii="IBM Plex Serif" w:hAnsi="IBM Plex Serif"/>
          <w:noProof/>
          <w:sz w:val="20"/>
          <w:szCs w:val="20"/>
          <w:shd w:val="clear" w:color="auto" w:fill="FFFFFF"/>
          <w:lang w:val="et-EE"/>
        </w:rPr>
        <w:t xml:space="preserve">katastriüksus </w:t>
      </w:r>
      <w:r w:rsidR="00B700AC" w:rsidRPr="00F36980">
        <w:rPr>
          <w:rFonts w:ascii="IBM Plex Serif" w:hAnsi="IBM Plex Serif"/>
          <w:noProof/>
          <w:sz w:val="20"/>
          <w:szCs w:val="20"/>
          <w:shd w:val="clear" w:color="auto" w:fill="FFFFFF"/>
          <w:lang w:val="et-EE"/>
        </w:rPr>
        <w:t>90701:003:0350</w:t>
      </w:r>
      <w:r w:rsidRPr="00F36980">
        <w:rPr>
          <w:rFonts w:ascii="IBM Plex Serif" w:hAnsi="IBM Plex Serif"/>
          <w:noProof/>
          <w:sz w:val="20"/>
          <w:szCs w:val="20"/>
          <w:shd w:val="clear" w:color="auto" w:fill="FFFFFF"/>
          <w:lang w:val="et-EE"/>
        </w:rPr>
        <w:t>).</w:t>
      </w:r>
    </w:p>
    <w:p w14:paraId="3E957006" w14:textId="6075E22F" w:rsidR="009B250C" w:rsidRPr="00F36980" w:rsidRDefault="009B250C" w:rsidP="009B250C">
      <w:pPr>
        <w:pStyle w:val="Default"/>
        <w:spacing w:before="0" w:line="20" w:lineRule="atLeast"/>
        <w:ind w:right="0"/>
        <w:jc w:val="both"/>
        <w:rPr>
          <w:rFonts w:ascii="IBM Plex Serif" w:hAnsi="IBM Plex Serif"/>
          <w:noProof/>
          <w:sz w:val="20"/>
          <w:szCs w:val="20"/>
          <w:shd w:val="clear" w:color="auto" w:fill="FFFFFF"/>
          <w:lang w:val="et-EE"/>
        </w:rPr>
      </w:pPr>
      <w:r w:rsidRPr="00F36980">
        <w:rPr>
          <w:rFonts w:ascii="IBM Plex Serif" w:hAnsi="IBM Plex Serif"/>
          <w:noProof/>
          <w:sz w:val="20"/>
          <w:szCs w:val="20"/>
          <w:shd w:val="clear" w:color="auto" w:fill="FFFFFF"/>
          <w:lang w:val="et-EE"/>
        </w:rPr>
        <w:t>Juurdepääsutee</w:t>
      </w:r>
      <w:r w:rsidR="00B700AC" w:rsidRPr="00F36980">
        <w:rPr>
          <w:rFonts w:ascii="IBM Plex Serif" w:hAnsi="IBM Plex Serif"/>
          <w:noProof/>
          <w:sz w:val="20"/>
          <w:szCs w:val="20"/>
          <w:shd w:val="clear" w:color="auto" w:fill="FFFFFF"/>
          <w:lang w:val="et-EE"/>
        </w:rPr>
        <w:t xml:space="preserve">d </w:t>
      </w:r>
      <w:r w:rsidRPr="00F36980">
        <w:rPr>
          <w:rFonts w:ascii="IBM Plex Serif" w:hAnsi="IBM Plex Serif"/>
          <w:noProof/>
          <w:sz w:val="20"/>
          <w:szCs w:val="20"/>
          <w:shd w:val="clear" w:color="auto" w:fill="FFFFFF"/>
          <w:lang w:val="et-EE"/>
        </w:rPr>
        <w:t xml:space="preserve">planeeritavale alale </w:t>
      </w:r>
      <w:r w:rsidR="00961255" w:rsidRPr="00F36980">
        <w:rPr>
          <w:rFonts w:ascii="IBM Plex Serif" w:hAnsi="IBM Plex Serif"/>
          <w:noProof/>
          <w:sz w:val="20"/>
          <w:szCs w:val="20"/>
          <w:shd w:val="clear" w:color="auto" w:fill="FFFFFF"/>
          <w:lang w:val="et-EE"/>
        </w:rPr>
        <w:t xml:space="preserve">ei ole. See </w:t>
      </w:r>
      <w:r w:rsidR="00482A28">
        <w:rPr>
          <w:rFonts w:ascii="IBM Plex Serif" w:hAnsi="IBM Plex Serif"/>
          <w:noProof/>
          <w:sz w:val="20"/>
          <w:szCs w:val="20"/>
          <w:shd w:val="clear" w:color="auto" w:fill="FFFFFF"/>
          <w:lang w:val="et-EE"/>
        </w:rPr>
        <w:t>soovitakse</w:t>
      </w:r>
      <w:r w:rsidR="00961255" w:rsidRPr="00F36980">
        <w:rPr>
          <w:rFonts w:ascii="IBM Plex Serif" w:hAnsi="IBM Plex Serif"/>
          <w:noProof/>
          <w:sz w:val="20"/>
          <w:szCs w:val="20"/>
          <w:shd w:val="clear" w:color="auto" w:fill="FFFFFF"/>
          <w:lang w:val="et-EE"/>
        </w:rPr>
        <w:t xml:space="preserve"> rajada </w:t>
      </w:r>
      <w:r w:rsidRPr="00F36980">
        <w:rPr>
          <w:rFonts w:ascii="IBM Plex Serif" w:hAnsi="IBM Plex Serif"/>
          <w:noProof/>
          <w:sz w:val="20"/>
          <w:szCs w:val="20"/>
          <w:shd w:val="clear" w:color="auto" w:fill="FFFFFF"/>
          <w:lang w:val="et-EE"/>
        </w:rPr>
        <w:t>Hosby teelt</w:t>
      </w:r>
      <w:r w:rsidR="00961255" w:rsidRPr="00F36980">
        <w:rPr>
          <w:rFonts w:ascii="IBM Plex Serif" w:hAnsi="IBM Plex Serif"/>
          <w:noProof/>
          <w:sz w:val="20"/>
          <w:szCs w:val="20"/>
          <w:shd w:val="clear" w:color="auto" w:fill="FFFFFF"/>
          <w:lang w:val="et-EE"/>
        </w:rPr>
        <w:t xml:space="preserve"> (9070008).</w:t>
      </w:r>
      <w:r w:rsidR="00226823" w:rsidRPr="00F36980">
        <w:rPr>
          <w:rFonts w:ascii="IBM Plex Serif" w:hAnsi="IBM Plex Serif"/>
          <w:noProof/>
          <w:sz w:val="20"/>
          <w:szCs w:val="20"/>
          <w:shd w:val="clear" w:color="auto" w:fill="FFFFFF"/>
          <w:lang w:val="et-EE"/>
        </w:rPr>
        <w:t xml:space="preserve"> Alal ei asu ka tehnovõrke. Lähim elektriliin </w:t>
      </w:r>
      <w:r w:rsidR="00421A00" w:rsidRPr="00F36980">
        <w:rPr>
          <w:rFonts w:ascii="IBM Plex Serif" w:hAnsi="IBM Plex Serif"/>
          <w:noProof/>
          <w:sz w:val="20"/>
          <w:szCs w:val="20"/>
          <w:shd w:val="clear" w:color="auto" w:fill="FFFFFF"/>
          <w:lang w:val="et-EE"/>
        </w:rPr>
        <w:t xml:space="preserve">asub katastriüksuse </w:t>
      </w:r>
      <w:r w:rsidR="00955F26">
        <w:rPr>
          <w:rFonts w:ascii="IBM Plex Serif" w:hAnsi="IBM Plex Serif"/>
          <w:noProof/>
          <w:sz w:val="20"/>
          <w:szCs w:val="20"/>
          <w:shd w:val="clear" w:color="auto" w:fill="FFFFFF"/>
          <w:lang w:val="et-EE"/>
        </w:rPr>
        <w:t>Hosby tee poolsest küljest</w:t>
      </w:r>
      <w:r w:rsidR="00421A00" w:rsidRPr="00F36980">
        <w:rPr>
          <w:rFonts w:ascii="IBM Plex Serif" w:hAnsi="IBM Plex Serif"/>
          <w:noProof/>
          <w:sz w:val="20"/>
          <w:szCs w:val="20"/>
          <w:shd w:val="clear" w:color="auto" w:fill="FFFFFF"/>
          <w:lang w:val="et-EE"/>
        </w:rPr>
        <w:t xml:space="preserve"> 2 m kaugusel. Tegemist on maakaabelliiniga.</w:t>
      </w:r>
    </w:p>
    <w:p w14:paraId="05F75C9E" w14:textId="4E6FEF35" w:rsidR="00176D3F" w:rsidRPr="00F36980" w:rsidRDefault="00961255" w:rsidP="00176D3F">
      <w:pPr>
        <w:pStyle w:val="Default"/>
        <w:spacing w:before="0" w:line="20" w:lineRule="atLeast"/>
        <w:ind w:right="0"/>
        <w:jc w:val="both"/>
        <w:rPr>
          <w:rFonts w:ascii="IBM Plex Serif" w:hAnsi="IBM Plex Serif"/>
          <w:noProof/>
          <w:sz w:val="20"/>
          <w:szCs w:val="20"/>
          <w:shd w:val="clear" w:color="auto" w:fill="FFFFFF"/>
          <w:lang w:val="et-EE"/>
        </w:rPr>
      </w:pPr>
      <w:r w:rsidRPr="00F36980">
        <w:rPr>
          <w:rFonts w:ascii="IBM Plex Serif" w:hAnsi="IBM Plex Serif"/>
          <w:noProof/>
          <w:sz w:val="20"/>
          <w:szCs w:val="20"/>
          <w:shd w:val="clear" w:color="auto" w:fill="FFFFFF"/>
          <w:lang w:val="et-EE"/>
        </w:rPr>
        <w:t>Planeeritavale katastriüksusele ei jää looduskaitsealasid. Lähim</w:t>
      </w:r>
      <w:r w:rsidR="00176D3F" w:rsidRPr="00F36980">
        <w:rPr>
          <w:rFonts w:ascii="IBM Plex Serif" w:hAnsi="IBM Plex Serif"/>
          <w:noProof/>
          <w:sz w:val="20"/>
          <w:szCs w:val="20"/>
          <w:shd w:val="clear" w:color="auto" w:fill="FFFFFF"/>
          <w:lang w:val="et-EE"/>
        </w:rPr>
        <w:t>ad</w:t>
      </w:r>
      <w:r w:rsidRPr="00F36980">
        <w:rPr>
          <w:rFonts w:ascii="IBM Plex Serif" w:hAnsi="IBM Plex Serif"/>
          <w:noProof/>
          <w:sz w:val="20"/>
          <w:szCs w:val="20"/>
          <w:shd w:val="clear" w:color="auto" w:fill="FFFFFF"/>
          <w:lang w:val="et-EE"/>
        </w:rPr>
        <w:t xml:space="preserve"> kaitseala</w:t>
      </w:r>
      <w:r w:rsidR="00176D3F" w:rsidRPr="00F36980">
        <w:rPr>
          <w:rFonts w:ascii="IBM Plex Serif" w:hAnsi="IBM Plex Serif"/>
          <w:noProof/>
          <w:sz w:val="20"/>
          <w:szCs w:val="20"/>
          <w:shd w:val="clear" w:color="auto" w:fill="FFFFFF"/>
          <w:lang w:val="et-EE"/>
        </w:rPr>
        <w:t>d</w:t>
      </w:r>
      <w:r w:rsidRPr="00F36980">
        <w:rPr>
          <w:rFonts w:ascii="IBM Plex Serif" w:hAnsi="IBM Plex Serif"/>
          <w:noProof/>
          <w:sz w:val="20"/>
          <w:szCs w:val="20"/>
          <w:shd w:val="clear" w:color="auto" w:fill="FFFFFF"/>
          <w:lang w:val="et-EE"/>
        </w:rPr>
        <w:t xml:space="preserve">- </w:t>
      </w:r>
      <w:r w:rsidR="009B250C" w:rsidRPr="00F36980">
        <w:rPr>
          <w:rFonts w:ascii="IBM Plex Serif" w:hAnsi="IBM Plex Serif"/>
          <w:noProof/>
          <w:sz w:val="20"/>
          <w:szCs w:val="20"/>
          <w:shd w:val="clear" w:color="auto" w:fill="FFFFFF"/>
          <w:lang w:val="et-EE"/>
        </w:rPr>
        <w:t>Väinamere hoiuala</w:t>
      </w:r>
      <w:r w:rsidRPr="00F36980">
        <w:rPr>
          <w:rFonts w:ascii="IBM Plex Serif" w:hAnsi="IBM Plex Serif"/>
          <w:noProof/>
          <w:sz w:val="20"/>
          <w:szCs w:val="20"/>
          <w:shd w:val="clear" w:color="auto" w:fill="FFFFFF"/>
          <w:lang w:val="et-EE"/>
        </w:rPr>
        <w:t xml:space="preserve"> asub Hosby teest mere pool</w:t>
      </w:r>
      <w:r w:rsidR="00176D3F" w:rsidRPr="00F36980">
        <w:rPr>
          <w:rFonts w:ascii="IBM Plex Serif" w:hAnsi="IBM Plex Serif"/>
          <w:noProof/>
          <w:sz w:val="20"/>
          <w:szCs w:val="20"/>
          <w:shd w:val="clear" w:color="auto" w:fill="FFFFFF"/>
          <w:lang w:val="et-EE"/>
        </w:rPr>
        <w:t xml:space="preserve"> ja Vormsi maastikukaitseala asub katastriüksuse kirdenurgast ca 63 m kaugusele</w:t>
      </w:r>
      <w:r w:rsidRPr="00F36980">
        <w:rPr>
          <w:rFonts w:ascii="IBM Plex Serif" w:hAnsi="IBM Plex Serif"/>
          <w:noProof/>
          <w:sz w:val="20"/>
          <w:szCs w:val="20"/>
          <w:shd w:val="clear" w:color="auto" w:fill="FFFFFF"/>
          <w:lang w:val="et-EE"/>
        </w:rPr>
        <w:t>. Kase</w:t>
      </w:r>
      <w:r w:rsidR="009B250C" w:rsidRPr="00F36980">
        <w:rPr>
          <w:rFonts w:ascii="IBM Plex Serif" w:hAnsi="IBM Plex Serif"/>
          <w:noProof/>
          <w:sz w:val="20"/>
          <w:szCs w:val="20"/>
          <w:shd w:val="clear" w:color="auto" w:fill="FFFFFF"/>
          <w:lang w:val="et-EE"/>
        </w:rPr>
        <w:t xml:space="preserve"> katastriüksus</w:t>
      </w:r>
      <w:r w:rsidRPr="00F36980">
        <w:rPr>
          <w:rFonts w:ascii="IBM Plex Serif" w:hAnsi="IBM Plex Serif"/>
          <w:noProof/>
          <w:sz w:val="20"/>
          <w:szCs w:val="20"/>
          <w:shd w:val="clear" w:color="auto" w:fill="FFFFFF"/>
          <w:lang w:val="et-EE"/>
        </w:rPr>
        <w:t xml:space="preserve"> </w:t>
      </w:r>
      <w:r w:rsidR="00176D3F" w:rsidRPr="00F36980">
        <w:rPr>
          <w:rFonts w:ascii="IBM Plex Serif" w:hAnsi="IBM Plex Serif"/>
          <w:noProof/>
          <w:sz w:val="20"/>
          <w:szCs w:val="20"/>
          <w:shd w:val="clear" w:color="auto" w:fill="FFFFFF"/>
          <w:lang w:val="et-EE"/>
        </w:rPr>
        <w:t xml:space="preserve">kattub </w:t>
      </w:r>
      <w:r w:rsidRPr="00F36980">
        <w:rPr>
          <w:rFonts w:ascii="IBM Plex Serif" w:hAnsi="IBM Plex Serif"/>
          <w:noProof/>
          <w:sz w:val="20"/>
          <w:szCs w:val="20"/>
          <w:shd w:val="clear" w:color="auto" w:fill="FFFFFF"/>
          <w:lang w:val="et-EE"/>
        </w:rPr>
        <w:t>kirdeosa</w:t>
      </w:r>
      <w:r w:rsidR="00176D3F" w:rsidRPr="00F36980">
        <w:rPr>
          <w:rFonts w:ascii="IBM Plex Serif" w:hAnsi="IBM Plex Serif"/>
          <w:noProof/>
          <w:sz w:val="20"/>
          <w:szCs w:val="20"/>
          <w:shd w:val="clear" w:color="auto" w:fill="FFFFFF"/>
          <w:lang w:val="et-EE"/>
        </w:rPr>
        <w:t>s hiireviu (</w:t>
      </w:r>
      <w:r w:rsidR="00176D3F" w:rsidRPr="00F36980">
        <w:rPr>
          <w:rFonts w:ascii="IBM Plex Serif" w:hAnsi="IBM Plex Serif"/>
          <w:i/>
          <w:iCs/>
          <w:noProof/>
          <w:sz w:val="20"/>
          <w:szCs w:val="20"/>
          <w:shd w:val="clear" w:color="auto" w:fill="FFFFFF"/>
          <w:lang w:val="et-EE"/>
        </w:rPr>
        <w:t>Buteo buteo</w:t>
      </w:r>
      <w:r w:rsidR="00176D3F" w:rsidRPr="00F36980">
        <w:rPr>
          <w:rFonts w:ascii="IBM Plex Serif" w:hAnsi="IBM Plex Serif"/>
          <w:noProof/>
          <w:sz w:val="20"/>
          <w:szCs w:val="20"/>
          <w:shd w:val="clear" w:color="auto" w:fill="FFFFFF"/>
          <w:lang w:val="et-EE"/>
        </w:rPr>
        <w:t>) elupaigaga. Hiireviu on III kaitsekategooria kaitsealune liik.</w:t>
      </w:r>
      <w:r w:rsidR="00955F26">
        <w:rPr>
          <w:rFonts w:ascii="IBM Plex Serif" w:hAnsi="IBM Plex Serif"/>
          <w:noProof/>
          <w:sz w:val="20"/>
          <w:szCs w:val="20"/>
          <w:shd w:val="clear" w:color="auto" w:fill="FFFFFF"/>
          <w:lang w:val="et-EE"/>
        </w:rPr>
        <w:t xml:space="preserve"> Katastriüksuse metsaala on osaliselt Natura 2000 elupaigatüüp </w:t>
      </w:r>
      <w:r w:rsidR="00955F26" w:rsidRPr="00955F26">
        <w:rPr>
          <w:rFonts w:ascii="IBM Plex Serif" w:hAnsi="IBM Plex Serif"/>
          <w:noProof/>
          <w:sz w:val="20"/>
          <w:szCs w:val="20"/>
          <w:shd w:val="clear" w:color="auto" w:fill="FFFFFF"/>
          <w:lang w:val="et-EE"/>
        </w:rPr>
        <w:t>soostuvad ja soo-lehtmetsad (9080)</w:t>
      </w:r>
      <w:r w:rsidR="00955F26">
        <w:rPr>
          <w:rFonts w:ascii="IBM Plex Serif" w:hAnsi="IBM Plex Serif"/>
          <w:noProof/>
          <w:sz w:val="20"/>
          <w:szCs w:val="20"/>
          <w:shd w:val="clear" w:color="auto" w:fill="FFFFFF"/>
          <w:lang w:val="et-EE"/>
        </w:rPr>
        <w:t>.</w:t>
      </w:r>
    </w:p>
    <w:p w14:paraId="4E4D101E" w14:textId="693ECD76" w:rsidR="009B250C" w:rsidRPr="00F36980" w:rsidRDefault="00176D3F" w:rsidP="009B250C">
      <w:pPr>
        <w:pStyle w:val="Default"/>
        <w:spacing w:before="0" w:line="20" w:lineRule="atLeast"/>
        <w:ind w:right="0"/>
        <w:jc w:val="both"/>
        <w:rPr>
          <w:rFonts w:ascii="IBM Plex Serif" w:hAnsi="IBM Plex Serif"/>
          <w:noProof/>
          <w:sz w:val="20"/>
          <w:szCs w:val="20"/>
          <w:shd w:val="clear" w:color="auto" w:fill="FFFFFF"/>
          <w:lang w:val="et-EE"/>
        </w:rPr>
      </w:pPr>
      <w:r w:rsidRPr="00F36980">
        <w:rPr>
          <w:rFonts w:ascii="IBM Plex Serif" w:hAnsi="IBM Plex Serif"/>
          <w:noProof/>
          <w:sz w:val="20"/>
          <w:szCs w:val="20"/>
          <w:shd w:val="clear" w:color="auto" w:fill="FFFFFF"/>
          <w:lang w:val="et-EE"/>
        </w:rPr>
        <w:t xml:space="preserve">Kase </w:t>
      </w:r>
      <w:r w:rsidR="009B250C" w:rsidRPr="00F36980">
        <w:rPr>
          <w:rFonts w:ascii="IBM Plex Serif" w:hAnsi="IBM Plex Serif"/>
          <w:noProof/>
          <w:sz w:val="20"/>
          <w:szCs w:val="20"/>
          <w:shd w:val="clear" w:color="auto" w:fill="FFFFFF"/>
          <w:lang w:val="et-EE"/>
        </w:rPr>
        <w:t xml:space="preserve">katastriüksusel ja selle mõjualas puuduvad kultuurimälestised ja pärandkultuuriobjektid. </w:t>
      </w:r>
      <w:r w:rsidR="00226823" w:rsidRPr="00F36980">
        <w:rPr>
          <w:rFonts w:ascii="IBM Plex Serif" w:hAnsi="IBM Plex Serif"/>
          <w:noProof/>
          <w:sz w:val="20"/>
          <w:szCs w:val="20"/>
          <w:shd w:val="clear" w:color="auto" w:fill="FFFFFF"/>
          <w:lang w:val="et-EE"/>
        </w:rPr>
        <w:t>Lähim pärandkultuuriobjekt on Söderby mõisa ase mis asub katastriüksusest ca 200</w:t>
      </w:r>
      <w:r w:rsidR="00421A00" w:rsidRPr="00F36980">
        <w:rPr>
          <w:rFonts w:ascii="IBM Plex Serif" w:hAnsi="IBM Plex Serif"/>
          <w:noProof/>
          <w:sz w:val="20"/>
          <w:szCs w:val="20"/>
          <w:shd w:val="clear" w:color="auto" w:fill="FFFFFF"/>
          <w:lang w:val="et-EE"/>
        </w:rPr>
        <w:t xml:space="preserve"> m</w:t>
      </w:r>
      <w:r w:rsidR="00226823" w:rsidRPr="00F36980">
        <w:rPr>
          <w:rFonts w:ascii="IBM Plex Serif" w:hAnsi="IBM Plex Serif"/>
          <w:noProof/>
          <w:sz w:val="20"/>
          <w:szCs w:val="20"/>
          <w:shd w:val="clear" w:color="auto" w:fill="FFFFFF"/>
          <w:lang w:val="et-EE"/>
        </w:rPr>
        <w:t xml:space="preserve"> kaugusel loodes.</w:t>
      </w:r>
    </w:p>
    <w:p w14:paraId="5DBD140E" w14:textId="77777777" w:rsidR="00226823" w:rsidRPr="00F36980" w:rsidRDefault="00226823" w:rsidP="009B250C">
      <w:pPr>
        <w:pStyle w:val="Default"/>
        <w:spacing w:before="0" w:line="20" w:lineRule="atLeast"/>
        <w:ind w:right="0"/>
        <w:jc w:val="both"/>
        <w:rPr>
          <w:rFonts w:ascii="IBM Plex Serif" w:eastAsia="IBM Plex Sans Bold" w:hAnsi="IBM Plex Serif" w:cs="IBM Plex Sans Bold"/>
          <w:noProof/>
          <w:sz w:val="20"/>
          <w:szCs w:val="20"/>
          <w:shd w:val="clear" w:color="auto" w:fill="FFFFFF"/>
          <w:lang w:val="et-EE"/>
        </w:rPr>
      </w:pPr>
    </w:p>
    <w:p w14:paraId="7D702F54" w14:textId="77777777" w:rsidR="009B250C" w:rsidRPr="00F36980" w:rsidRDefault="009B250C" w:rsidP="009B250C">
      <w:pPr>
        <w:pStyle w:val="Default"/>
        <w:spacing w:before="0" w:line="20" w:lineRule="atLeast"/>
        <w:ind w:right="0"/>
        <w:jc w:val="both"/>
        <w:rPr>
          <w:rFonts w:ascii="IBM Plex Serif" w:eastAsia="IBM Plex Sans Regular" w:hAnsi="IBM Plex Serif" w:cs="IBM Plex Sans Regular"/>
          <w:b/>
          <w:bCs/>
          <w:noProof/>
          <w:sz w:val="20"/>
          <w:szCs w:val="20"/>
          <w:shd w:val="clear" w:color="auto" w:fill="FFFFFF"/>
          <w:lang w:val="et-EE"/>
        </w:rPr>
      </w:pPr>
      <w:r w:rsidRPr="00F36980">
        <w:rPr>
          <w:rFonts w:ascii="IBM Plex Serif" w:hAnsi="IBM Plex Serif"/>
          <w:b/>
          <w:bCs/>
          <w:noProof/>
          <w:sz w:val="20"/>
          <w:szCs w:val="20"/>
          <w:shd w:val="clear" w:color="auto" w:fill="FFFFFF"/>
          <w:lang w:val="et-EE"/>
        </w:rPr>
        <w:t>II Kehtiv üldplaneering</w:t>
      </w:r>
    </w:p>
    <w:p w14:paraId="53D4A0F3" w14:textId="77777777" w:rsidR="009B250C" w:rsidRPr="00F36980" w:rsidRDefault="009B250C" w:rsidP="009B250C">
      <w:pPr>
        <w:pStyle w:val="Default"/>
        <w:spacing w:before="0" w:line="20" w:lineRule="atLeast"/>
        <w:ind w:right="0"/>
        <w:jc w:val="both"/>
        <w:rPr>
          <w:rFonts w:ascii="IBM Plex Serif" w:hAnsi="IBM Plex Serif"/>
          <w:noProof/>
          <w:sz w:val="20"/>
          <w:szCs w:val="20"/>
          <w:shd w:val="clear" w:color="auto" w:fill="FFFFFF"/>
          <w:lang w:val="et-EE"/>
        </w:rPr>
      </w:pPr>
      <w:r w:rsidRPr="00F36980">
        <w:rPr>
          <w:rFonts w:ascii="IBM Plex Serif" w:hAnsi="IBM Plex Serif"/>
          <w:noProof/>
          <w:sz w:val="20"/>
          <w:szCs w:val="20"/>
          <w:shd w:val="clear" w:color="auto" w:fill="FFFFFF"/>
          <w:lang w:val="et-EE"/>
        </w:rPr>
        <w:t>Vormsi valla üldplaneeringu (kehtestatud 14.06.2004 Vormsi Vallavolikogu määrusega nr 8) kohaselt asub detailplaneeringu ala hajaasustusega piirkonnas, pigem rannaalal ja rannaala vahetus läheduses. Detailplaneeringu koostamisel tuleb lähtuda üldplaneeringuga seatud ruumilise arengu põhimõtetest Vormsi vallas (vt ptk 4.2), sh eelkõige rannaaladele seatud põhimõtetest (vt ptk 4.2.2.3). Üldplaneeringust tulenevad järgmised nõuded:</w:t>
      </w:r>
    </w:p>
    <w:p w14:paraId="549E6458" w14:textId="5B7C5AF6" w:rsidR="006F3C01" w:rsidRPr="00F36980" w:rsidRDefault="006F3C01" w:rsidP="006F3C01">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lang w:val="et-EE"/>
        </w:rPr>
        <w:t>4.2.1. Hoonestuse edasisel arendamisel toetab käesolev üldplaneering külade struktuuri kompaktsemaks muutmist, et taastada ajalooliste sumbkülade südamikud. Valdavaks peab jääma Vormsi miljöösse sobivate ühepereelamute ehitamine.</w:t>
      </w:r>
    </w:p>
    <w:p w14:paraId="0BDDBCBD" w14:textId="77777777" w:rsidR="006F3C01" w:rsidRPr="00F36980" w:rsidRDefault="006F3C01"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p>
    <w:p w14:paraId="7B3A00E0" w14:textId="66766F48" w:rsidR="009B250C" w:rsidRPr="00F36980" w:rsidRDefault="009B250C" w:rsidP="00226823">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Kohustuslik on vähemalt ühe avaliku arutelu korraldamine (vt ptk 4.2.2.3).</w:t>
      </w:r>
      <w:r w:rsidRPr="00F36980">
        <w:rPr>
          <w:rFonts w:ascii="IBM Plex Serif" w:eastAsia="IBM Plex Sans Regular" w:hAnsi="IBM Plex Serif" w:cs="IBM Plex Sans Regular"/>
          <w:noProof/>
          <w:sz w:val="20"/>
          <w:szCs w:val="20"/>
          <w:shd w:val="clear" w:color="auto" w:fill="FFFFFF"/>
          <w:lang w:val="et-EE"/>
        </w:rPr>
        <w:br/>
      </w:r>
    </w:p>
    <w:p w14:paraId="7B407840" w14:textId="28ABEB81" w:rsidR="009B250C" w:rsidRPr="00F36980" w:rsidRDefault="009B250C" w:rsidP="009B250C">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Planeeringuala piirkonnas on põhjavesi nõrgalt või keskmiselt kaitstud. Võimaluse korral tuleb praktiseerida puurkaevude ühiskasutust (vt ptk 1.16, joonis lk 30).</w:t>
      </w:r>
    </w:p>
    <w:p w14:paraId="73521839" w14:textId="77777777" w:rsidR="009B250C" w:rsidRPr="00F36980" w:rsidRDefault="009B250C" w:rsidP="009B250C">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Uute elektriliinide ehitamisel loopealsetel, kadastikes, rannikualal ja muudel atraktiivsetel maastikel mitte rajada õhuliine seal, kus see rikuks maastikuilmet, st tuleb paigaldada maa-alune kaabelliin (vt ptk 4.2.2.5).</w:t>
      </w:r>
      <w:r w:rsidRPr="00F36980">
        <w:rPr>
          <w:rFonts w:ascii="IBM Plex Serif" w:eastAsia="IBM Plex Sans Regular" w:hAnsi="IBM Plex Serif" w:cs="IBM Plex Sans Regular"/>
          <w:noProof/>
          <w:sz w:val="20"/>
          <w:szCs w:val="20"/>
          <w:shd w:val="clear" w:color="auto" w:fill="FFFFFF"/>
          <w:lang w:val="et-EE"/>
        </w:rPr>
        <w:br/>
      </w:r>
    </w:p>
    <w:p w14:paraId="30AF18CB" w14:textId="0F0ACB4E" w:rsidR="009B250C" w:rsidRPr="00F36980" w:rsidRDefault="009B250C" w:rsidP="009B250C">
      <w:pPr>
        <w:pStyle w:val="Default"/>
        <w:spacing w:before="0" w:line="20" w:lineRule="atLeast"/>
        <w:ind w:right="0"/>
        <w:jc w:val="both"/>
        <w:rPr>
          <w:rFonts w:ascii="IBM Plex Serif" w:hAnsi="IBM Plex Serif"/>
          <w:noProof/>
          <w:sz w:val="20"/>
          <w:szCs w:val="20"/>
          <w:shd w:val="clear" w:color="auto" w:fill="FFFFFF"/>
          <w:lang w:val="et-EE"/>
        </w:rPr>
      </w:pPr>
      <w:r w:rsidRPr="00F36980">
        <w:rPr>
          <w:rFonts w:ascii="IBM Plex Serif" w:hAnsi="IBM Plex Serif"/>
          <w:noProof/>
          <w:sz w:val="20"/>
          <w:szCs w:val="20"/>
          <w:shd w:val="clear" w:color="auto" w:fill="FFFFFF"/>
          <w:lang w:val="et-EE"/>
        </w:rPr>
        <w:t>Detailplaneering ei ole üldplaneeringuga vastuolus eeldusel, et järgitakse üldplaneeringuga seatud tingimusi</w:t>
      </w:r>
      <w:bookmarkStart w:id="0" w:name="_Hlk205372066"/>
      <w:r w:rsidRPr="00F36980">
        <w:rPr>
          <w:rFonts w:ascii="IBM Plex Serif" w:hAnsi="IBM Plex Serif"/>
          <w:noProof/>
          <w:sz w:val="20"/>
          <w:szCs w:val="20"/>
          <w:shd w:val="clear" w:color="auto" w:fill="FFFFFF"/>
          <w:lang w:val="et-EE"/>
        </w:rPr>
        <w:t xml:space="preserve">. </w:t>
      </w:r>
      <w:r w:rsidR="00226823" w:rsidRPr="00F36980">
        <w:rPr>
          <w:rFonts w:ascii="IBM Plex Serif" w:hAnsi="IBM Plex Serif"/>
          <w:noProof/>
          <w:sz w:val="20"/>
          <w:szCs w:val="20"/>
          <w:shd w:val="clear" w:color="auto" w:fill="FFFFFF"/>
          <w:lang w:val="et-EE"/>
        </w:rPr>
        <w:t xml:space="preserve">Kase detailplaneering on üldplaneeringuga vastuolus kuna detailplaneeringu kehtestamiseks on vaja ehituskeeluvööndi vähendamist ja kehtiva üldplaneeringuga seda </w:t>
      </w:r>
      <w:r w:rsidR="002A0676">
        <w:rPr>
          <w:rFonts w:ascii="IBM Plex Serif" w:hAnsi="IBM Plex Serif"/>
          <w:noProof/>
          <w:sz w:val="20"/>
          <w:szCs w:val="20"/>
          <w:shd w:val="clear" w:color="auto" w:fill="FFFFFF"/>
          <w:lang w:val="et-EE"/>
        </w:rPr>
        <w:t xml:space="preserve">sellel alal </w:t>
      </w:r>
      <w:r w:rsidR="00226823" w:rsidRPr="00F36980">
        <w:rPr>
          <w:rFonts w:ascii="IBM Plex Serif" w:hAnsi="IBM Plex Serif"/>
          <w:noProof/>
          <w:sz w:val="20"/>
          <w:szCs w:val="20"/>
          <w:shd w:val="clear" w:color="auto" w:fill="FFFFFF"/>
          <w:lang w:val="et-EE"/>
        </w:rPr>
        <w:t>tehtud ei ole.</w:t>
      </w:r>
    </w:p>
    <w:bookmarkEnd w:id="0"/>
    <w:p w14:paraId="5C618CCD" w14:textId="37163B4C" w:rsidR="00BD096B" w:rsidRPr="00F36980" w:rsidRDefault="00BD096B" w:rsidP="009B250C">
      <w:pPr>
        <w:pStyle w:val="Default"/>
        <w:spacing w:before="0" w:line="20" w:lineRule="atLeast"/>
        <w:ind w:right="0"/>
        <w:jc w:val="both"/>
        <w:rPr>
          <w:rFonts w:ascii="IBM Plex Serif" w:hAnsi="IBM Plex Serif"/>
          <w:b/>
          <w:bCs/>
          <w:noProof/>
          <w:sz w:val="20"/>
          <w:szCs w:val="20"/>
          <w:shd w:val="clear" w:color="auto" w:fill="FFFFFF"/>
          <w:lang w:val="et-EE"/>
        </w:rPr>
      </w:pPr>
      <w:r w:rsidRPr="00F36980">
        <w:rPr>
          <w:rFonts w:ascii="IBM Plex Serif" w:hAnsi="IBM Plex Serif"/>
          <w:b/>
          <w:bCs/>
          <w:noProof/>
          <w:sz w:val="20"/>
          <w:szCs w:val="20"/>
          <w:shd w:val="clear" w:color="auto" w:fill="FFFFFF"/>
          <w:lang w:val="et-EE"/>
        </w:rPr>
        <w:t>III Koostatav üldplaneering</w:t>
      </w:r>
    </w:p>
    <w:p w14:paraId="40A9A8AD" w14:textId="77777777" w:rsidR="009D5A2B" w:rsidRDefault="00BD096B"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eastAsia="IBM Plex Sans Regular" w:hAnsi="IBM Plex Serif" w:cs="IBM Plex Sans Regular"/>
          <w:noProof/>
          <w:sz w:val="20"/>
          <w:szCs w:val="20"/>
          <w:shd w:val="clear" w:color="auto" w:fill="FFFFFF"/>
          <w:lang w:val="et-EE"/>
        </w:rPr>
        <w:t xml:space="preserve">Vormsi Vallavolikogu algatas Vormsi valla üldplaneeringu ja keskkonnamõju strateegilise hindamise 20.05.2022 otsusega nr 13. </w:t>
      </w:r>
    </w:p>
    <w:p w14:paraId="439E9C78" w14:textId="311E6ECC" w:rsidR="00904E89" w:rsidRPr="001548AD" w:rsidRDefault="00904E89" w:rsidP="00904E89">
      <w:pPr>
        <w:pStyle w:val="Default"/>
        <w:spacing w:before="0" w:line="20" w:lineRule="atLeast"/>
        <w:ind w:right="0"/>
        <w:jc w:val="both"/>
        <w:rPr>
          <w:rFonts w:ascii="IBM Plex Serif" w:hAnsi="IBM Plex Serif"/>
          <w:b/>
          <w:bCs/>
          <w:sz w:val="20"/>
          <w:szCs w:val="20"/>
          <w:shd w:val="clear" w:color="auto" w:fill="FFFFFF"/>
          <w:lang w:val="et-EE"/>
        </w:rPr>
      </w:pPr>
      <w:r w:rsidRPr="001548AD">
        <w:rPr>
          <w:rFonts w:ascii="IBM Plex Serif" w:hAnsi="IBM Plex Serif"/>
          <w:sz w:val="20"/>
          <w:szCs w:val="20"/>
          <w:lang w:val="et-EE"/>
        </w:rPr>
        <w:t xml:space="preserve">Koostatava üldplaneeringu raames </w:t>
      </w:r>
      <w:r>
        <w:rPr>
          <w:rFonts w:ascii="IBM Plex Serif" w:hAnsi="IBM Plex Serif"/>
          <w:sz w:val="20"/>
          <w:szCs w:val="20"/>
          <w:lang w:val="et-EE"/>
        </w:rPr>
        <w:t>tellitud</w:t>
      </w:r>
      <w:r w:rsidRPr="001548AD">
        <w:rPr>
          <w:rFonts w:ascii="IBM Plex Serif" w:hAnsi="IBM Plex Serif"/>
          <w:sz w:val="20"/>
          <w:szCs w:val="20"/>
          <w:lang w:val="et-EE"/>
        </w:rPr>
        <w:t xml:space="preserve"> rohevõrgustiku analüüsi kohaselt jääb planeeringuala </w:t>
      </w:r>
      <w:r>
        <w:rPr>
          <w:rFonts w:ascii="IBM Plex Serif" w:hAnsi="IBM Plex Serif"/>
          <w:sz w:val="20"/>
          <w:szCs w:val="20"/>
          <w:lang w:val="et-EE"/>
        </w:rPr>
        <w:t>rohevõrgustiku tugialale</w:t>
      </w:r>
      <w:r w:rsidRPr="001548AD">
        <w:rPr>
          <w:rFonts w:ascii="IBM Plex Serif" w:hAnsi="IBM Plex Serif"/>
          <w:sz w:val="20"/>
          <w:szCs w:val="20"/>
          <w:lang w:val="et-EE"/>
        </w:rPr>
        <w:t xml:space="preserve"> </w:t>
      </w:r>
      <w:r>
        <w:rPr>
          <w:rFonts w:ascii="IBM Plex Serif" w:hAnsi="IBM Plex Serif"/>
          <w:sz w:val="20"/>
          <w:szCs w:val="20"/>
          <w:lang w:val="et-EE"/>
        </w:rPr>
        <w:t>Hosby</w:t>
      </w:r>
      <w:r w:rsidRPr="001548AD">
        <w:rPr>
          <w:rFonts w:ascii="IBM Plex Serif" w:hAnsi="IBM Plex Serif"/>
          <w:sz w:val="20"/>
          <w:szCs w:val="20"/>
          <w:lang w:val="et-EE"/>
        </w:rPr>
        <w:t xml:space="preserve"> </w:t>
      </w:r>
      <w:r>
        <w:rPr>
          <w:rFonts w:ascii="IBM Plex Serif" w:hAnsi="IBM Plex Serif"/>
          <w:sz w:val="20"/>
          <w:szCs w:val="20"/>
          <w:lang w:val="et-EE"/>
        </w:rPr>
        <w:t>T</w:t>
      </w:r>
      <w:r w:rsidRPr="001548AD">
        <w:rPr>
          <w:rFonts w:ascii="IBM Plex Serif" w:hAnsi="IBM Plex Serif"/>
          <w:sz w:val="20"/>
          <w:szCs w:val="20"/>
          <w:lang w:val="et-EE"/>
        </w:rPr>
        <w:t>1</w:t>
      </w:r>
      <w:r>
        <w:rPr>
          <w:rFonts w:ascii="IBM Plex Serif" w:hAnsi="IBM Plex Serif"/>
          <w:sz w:val="20"/>
          <w:szCs w:val="20"/>
          <w:lang w:val="et-EE"/>
        </w:rPr>
        <w:t xml:space="preserve">, mille kohaselt on </w:t>
      </w:r>
      <w:r w:rsidRPr="008571AA">
        <w:rPr>
          <w:rFonts w:ascii="IBM Plex Serif" w:hAnsi="IBM Plex Serif"/>
          <w:sz w:val="20"/>
          <w:szCs w:val="20"/>
          <w:lang w:val="et-EE"/>
        </w:rPr>
        <w:t>ehitus</w:t>
      </w:r>
      <w:r>
        <w:rPr>
          <w:rFonts w:ascii="IBM Plex Serif" w:hAnsi="IBM Plex Serif"/>
          <w:sz w:val="20"/>
          <w:szCs w:val="20"/>
          <w:lang w:val="et-EE"/>
        </w:rPr>
        <w:t>tegevus</w:t>
      </w:r>
      <w:r>
        <w:rPr>
          <w:rFonts w:ascii="IBM Plex Serif" w:hAnsi="IBM Plex Serif"/>
          <w:sz w:val="20"/>
          <w:szCs w:val="20"/>
          <w:lang w:val="et-EE"/>
        </w:rPr>
        <w:t xml:space="preserve"> lubatud </w:t>
      </w:r>
      <w:r>
        <w:rPr>
          <w:rFonts w:ascii="IBM Plex Serif" w:hAnsi="IBM Plex Serif"/>
          <w:sz w:val="20"/>
          <w:szCs w:val="20"/>
          <w:lang w:val="et-EE"/>
        </w:rPr>
        <w:lastRenderedPageBreak/>
        <w:t>vanadel talukohtadel</w:t>
      </w:r>
      <w:r w:rsidRPr="008571AA">
        <w:rPr>
          <w:rFonts w:ascii="IBM Plex Serif" w:hAnsi="IBM Plex Serif"/>
          <w:sz w:val="20"/>
          <w:szCs w:val="20"/>
          <w:lang w:val="et-EE"/>
        </w:rPr>
        <w:t xml:space="preserve">, </w:t>
      </w:r>
      <w:r>
        <w:rPr>
          <w:rFonts w:ascii="IBM Plex Serif" w:hAnsi="IBM Plex Serif"/>
          <w:sz w:val="20"/>
          <w:szCs w:val="20"/>
          <w:lang w:val="et-EE"/>
        </w:rPr>
        <w:t xml:space="preserve">metsa tuleb majandada </w:t>
      </w:r>
      <w:r w:rsidRPr="008571AA">
        <w:rPr>
          <w:rFonts w:ascii="IBM Plex Serif" w:hAnsi="IBM Plex Serif"/>
          <w:sz w:val="20"/>
          <w:szCs w:val="20"/>
          <w:lang w:val="et-EE"/>
        </w:rPr>
        <w:t>püsimet</w:t>
      </w:r>
      <w:r>
        <w:rPr>
          <w:rFonts w:ascii="IBM Plex Serif" w:hAnsi="IBM Plex Serif"/>
          <w:sz w:val="20"/>
          <w:szCs w:val="20"/>
          <w:lang w:val="et-EE"/>
        </w:rPr>
        <w:t>sana</w:t>
      </w:r>
      <w:r w:rsidRPr="00904E89">
        <w:rPr>
          <w:rFonts w:ascii="IBM Plex Serif" w:hAnsi="IBM Plex Serif"/>
          <w:sz w:val="20"/>
          <w:szCs w:val="20"/>
          <w:lang w:val="et-EE"/>
        </w:rPr>
        <w:t>, lubatud vaid valikraie, eesmärgiga säilitada merikotka elupaik jt vanametsaliikide elupaigad, rohumaad säilitada rohumaana, rohumaadel mitte kasutada biotsiide</w:t>
      </w:r>
      <w:r w:rsidRPr="008571AA">
        <w:rPr>
          <w:rFonts w:ascii="IBM Plex Serif" w:hAnsi="IBM Plex Serif"/>
          <w:sz w:val="20"/>
          <w:szCs w:val="20"/>
          <w:lang w:val="et-EE"/>
        </w:rPr>
        <w:t xml:space="preserve"> uuendusraie </w:t>
      </w:r>
      <w:r>
        <w:rPr>
          <w:rFonts w:ascii="IBM Plex Serif" w:hAnsi="IBM Plex Serif"/>
          <w:sz w:val="20"/>
          <w:szCs w:val="20"/>
          <w:lang w:val="et-EE"/>
        </w:rPr>
        <w:t xml:space="preserve">on </w:t>
      </w:r>
      <w:r w:rsidRPr="008571AA">
        <w:rPr>
          <w:rFonts w:ascii="IBM Plex Serif" w:hAnsi="IBM Plex Serif"/>
          <w:sz w:val="20"/>
          <w:szCs w:val="20"/>
          <w:lang w:val="et-EE"/>
        </w:rPr>
        <w:t>keelatud, enam kui 100 a vanused puud säilitada, õõnsustega puud säilitada</w:t>
      </w:r>
      <w:r>
        <w:rPr>
          <w:rFonts w:ascii="IBM Plex Serif" w:hAnsi="IBM Plex Serif"/>
          <w:sz w:val="20"/>
          <w:szCs w:val="20"/>
          <w:lang w:val="et-EE"/>
        </w:rPr>
        <w:t>. V</w:t>
      </w:r>
      <w:r w:rsidRPr="00904E89">
        <w:rPr>
          <w:rFonts w:ascii="IBM Plex Serif" w:hAnsi="IBM Plex Serif"/>
          <w:sz w:val="20"/>
          <w:szCs w:val="20"/>
          <w:lang w:val="et-EE"/>
        </w:rPr>
        <w:t>aja</w:t>
      </w:r>
      <w:r>
        <w:rPr>
          <w:rFonts w:ascii="IBM Plex Serif" w:hAnsi="IBM Plex Serif"/>
          <w:sz w:val="20"/>
          <w:szCs w:val="20"/>
          <w:lang w:val="et-EE"/>
        </w:rPr>
        <w:t>lik</w:t>
      </w:r>
      <w:r w:rsidRPr="00904E89">
        <w:rPr>
          <w:rFonts w:ascii="IBM Plex Serif" w:hAnsi="IBM Plex Serif"/>
          <w:sz w:val="20"/>
          <w:szCs w:val="20"/>
          <w:lang w:val="et-EE"/>
        </w:rPr>
        <w:t xml:space="preserve"> </w:t>
      </w:r>
      <w:r>
        <w:rPr>
          <w:rFonts w:ascii="IBM Plex Serif" w:hAnsi="IBM Plex Serif"/>
          <w:sz w:val="20"/>
          <w:szCs w:val="20"/>
          <w:lang w:val="et-EE"/>
        </w:rPr>
        <w:t>teostada</w:t>
      </w:r>
      <w:r w:rsidRPr="00904E89">
        <w:rPr>
          <w:rFonts w:ascii="IBM Plex Serif" w:hAnsi="IBM Plex Serif"/>
          <w:sz w:val="20"/>
          <w:szCs w:val="20"/>
          <w:lang w:val="et-EE"/>
        </w:rPr>
        <w:t xml:space="preserve"> loomade liikumise uuring ja inventeerida võimalikud LD metsa elupaigatüübid, nende väärtus ja tundlikkus ja VEP-ide inventuur</w:t>
      </w:r>
      <w:r>
        <w:rPr>
          <w:rFonts w:ascii="IBM Plex Serif" w:hAnsi="IBM Plex Serif"/>
          <w:sz w:val="20"/>
          <w:szCs w:val="20"/>
          <w:lang w:val="et-EE"/>
        </w:rPr>
        <w:t>.</w:t>
      </w:r>
    </w:p>
    <w:p w14:paraId="667F7B00" w14:textId="77777777" w:rsidR="00904E89" w:rsidRPr="00F36980" w:rsidRDefault="00904E89"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p>
    <w:p w14:paraId="20C06591" w14:textId="3E28CED5" w:rsidR="00BD096B" w:rsidRDefault="00BD096B"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eastAsia="IBM Plex Sans Regular" w:hAnsi="IBM Plex Serif" w:cs="IBM Plex Sans Regular"/>
          <w:noProof/>
          <w:sz w:val="20"/>
          <w:szCs w:val="20"/>
          <w:shd w:val="clear" w:color="auto" w:fill="FFFFFF"/>
          <w:lang w:val="et-EE"/>
        </w:rPr>
        <w:t xml:space="preserve">Koostatud </w:t>
      </w:r>
      <w:r w:rsidR="00904E89">
        <w:rPr>
          <w:rFonts w:ascii="IBM Plex Serif" w:eastAsia="IBM Plex Sans Regular" w:hAnsi="IBM Plex Serif" w:cs="IBM Plex Sans Regular"/>
          <w:noProof/>
          <w:sz w:val="20"/>
          <w:szCs w:val="20"/>
          <w:shd w:val="clear" w:color="auto" w:fill="FFFFFF"/>
          <w:lang w:val="et-EE"/>
        </w:rPr>
        <w:t>seletuskirjas</w:t>
      </w:r>
      <w:r w:rsidRPr="00F36980">
        <w:rPr>
          <w:rFonts w:ascii="IBM Plex Serif" w:eastAsia="IBM Plex Sans Regular" w:hAnsi="IBM Plex Serif" w:cs="IBM Plex Sans Regular"/>
          <w:noProof/>
          <w:sz w:val="20"/>
          <w:szCs w:val="20"/>
          <w:shd w:val="clear" w:color="auto" w:fill="FFFFFF"/>
          <w:lang w:val="et-EE"/>
        </w:rPr>
        <w:t xml:space="preserve"> on</w:t>
      </w:r>
      <w:r w:rsidR="00711294">
        <w:rPr>
          <w:rFonts w:ascii="IBM Plex Serif" w:eastAsia="IBM Plex Sans Regular" w:hAnsi="IBM Plex Serif" w:cs="IBM Plex Sans Regular"/>
          <w:noProof/>
          <w:sz w:val="20"/>
          <w:szCs w:val="20"/>
          <w:shd w:val="clear" w:color="auto" w:fill="FFFFFF"/>
          <w:lang w:val="et-EE"/>
        </w:rPr>
        <w:t xml:space="preserve"> Hosby tee poolne osa</w:t>
      </w:r>
      <w:r w:rsidRPr="00F36980">
        <w:rPr>
          <w:rFonts w:ascii="IBM Plex Serif" w:eastAsia="IBM Plex Sans Regular" w:hAnsi="IBM Plex Serif" w:cs="IBM Plex Sans Regular"/>
          <w:noProof/>
          <w:sz w:val="20"/>
          <w:szCs w:val="20"/>
          <w:shd w:val="clear" w:color="auto" w:fill="FFFFFF"/>
          <w:lang w:val="et-EE"/>
        </w:rPr>
        <w:t xml:space="preserve"> </w:t>
      </w:r>
      <w:r w:rsidR="002A3397" w:rsidRPr="00F36980">
        <w:rPr>
          <w:rFonts w:ascii="IBM Plex Serif" w:eastAsia="IBM Plex Sans Regular" w:hAnsi="IBM Plex Serif" w:cs="IBM Plex Sans Regular"/>
          <w:noProof/>
          <w:sz w:val="20"/>
          <w:szCs w:val="20"/>
          <w:shd w:val="clear" w:color="auto" w:fill="FFFFFF"/>
          <w:lang w:val="et-EE"/>
        </w:rPr>
        <w:t xml:space="preserve">Kase </w:t>
      </w:r>
      <w:r w:rsidR="00711294">
        <w:rPr>
          <w:rFonts w:ascii="IBM Plex Serif" w:eastAsia="IBM Plex Sans Regular" w:hAnsi="IBM Plex Serif" w:cs="IBM Plex Sans Regular"/>
          <w:noProof/>
          <w:sz w:val="20"/>
          <w:szCs w:val="20"/>
          <w:shd w:val="clear" w:color="auto" w:fill="FFFFFF"/>
          <w:lang w:val="et-EE"/>
        </w:rPr>
        <w:t>katastriüksusest</w:t>
      </w:r>
      <w:r w:rsidR="002A3397" w:rsidRPr="00F36980">
        <w:rPr>
          <w:rFonts w:ascii="IBM Plex Serif" w:eastAsia="IBM Plex Sans Regular" w:hAnsi="IBM Plex Serif" w:cs="IBM Plex Sans Regular"/>
          <w:noProof/>
          <w:sz w:val="20"/>
          <w:szCs w:val="20"/>
          <w:shd w:val="clear" w:color="auto" w:fill="FFFFFF"/>
          <w:lang w:val="et-EE"/>
        </w:rPr>
        <w:t xml:space="preserve"> käsit</w:t>
      </w:r>
      <w:r w:rsidR="009A02DD">
        <w:rPr>
          <w:rFonts w:ascii="IBM Plex Serif" w:eastAsia="IBM Plex Sans Regular" w:hAnsi="IBM Plex Serif" w:cs="IBM Plex Sans Regular"/>
          <w:noProof/>
          <w:sz w:val="20"/>
          <w:szCs w:val="20"/>
          <w:shd w:val="clear" w:color="auto" w:fill="FFFFFF"/>
          <w:lang w:val="et-EE"/>
        </w:rPr>
        <w:t>let</w:t>
      </w:r>
      <w:r w:rsidR="002A3397" w:rsidRPr="00F36980">
        <w:rPr>
          <w:rFonts w:ascii="IBM Plex Serif" w:eastAsia="IBM Plex Sans Regular" w:hAnsi="IBM Plex Serif" w:cs="IBM Plex Sans Regular"/>
          <w:noProof/>
          <w:sz w:val="20"/>
          <w:szCs w:val="20"/>
          <w:shd w:val="clear" w:color="auto" w:fill="FFFFFF"/>
          <w:lang w:val="et-EE"/>
        </w:rPr>
        <w:t xml:space="preserve">av kui </w:t>
      </w:r>
      <w:r w:rsidR="007448F8">
        <w:rPr>
          <w:rFonts w:ascii="IBM Plex Serif" w:eastAsia="IBM Plex Sans Regular" w:hAnsi="IBM Plex Serif" w:cs="IBM Plex Sans Regular"/>
          <w:noProof/>
          <w:sz w:val="20"/>
          <w:szCs w:val="20"/>
          <w:shd w:val="clear" w:color="auto" w:fill="FFFFFF"/>
          <w:lang w:val="et-EE"/>
        </w:rPr>
        <w:t xml:space="preserve">osa </w:t>
      </w:r>
      <w:r w:rsidR="00711294">
        <w:rPr>
          <w:rFonts w:ascii="IBM Plex Serif" w:eastAsia="IBM Plex Sans Regular" w:hAnsi="IBM Plex Serif" w:cs="IBM Plex Sans Regular"/>
          <w:noProof/>
          <w:sz w:val="20"/>
          <w:szCs w:val="20"/>
          <w:shd w:val="clear" w:color="auto" w:fill="FFFFFF"/>
          <w:lang w:val="et-EE"/>
        </w:rPr>
        <w:t>ajaloolisest külasüdamikualast</w:t>
      </w:r>
      <w:r w:rsidR="002A3397" w:rsidRPr="00F36980">
        <w:rPr>
          <w:rFonts w:ascii="IBM Plex Serif" w:eastAsia="IBM Plex Sans Regular" w:hAnsi="IBM Plex Serif" w:cs="IBM Plex Sans Regular"/>
          <w:noProof/>
          <w:sz w:val="20"/>
          <w:szCs w:val="20"/>
          <w:shd w:val="clear" w:color="auto" w:fill="FFFFFF"/>
          <w:lang w:val="et-EE"/>
        </w:rPr>
        <w:t>.</w:t>
      </w:r>
      <w:r w:rsidR="00051B1F">
        <w:rPr>
          <w:rFonts w:ascii="IBM Plex Serif" w:eastAsia="IBM Plex Sans Regular" w:hAnsi="IBM Plex Serif" w:cs="IBM Plex Sans Regular"/>
          <w:noProof/>
          <w:sz w:val="20"/>
          <w:szCs w:val="20"/>
          <w:shd w:val="clear" w:color="auto" w:fill="FFFFFF"/>
          <w:lang w:val="et-EE"/>
        </w:rPr>
        <w:t xml:space="preserve"> Kui hooned rajatakse Hosby tee äärde, siis </w:t>
      </w:r>
      <w:bookmarkStart w:id="1" w:name="_Hlk205366772"/>
      <w:r w:rsidR="00051B1F">
        <w:rPr>
          <w:rFonts w:ascii="IBM Plex Serif" w:eastAsia="IBM Plex Sans Regular" w:hAnsi="IBM Plex Serif" w:cs="IBM Plex Sans Regular"/>
          <w:noProof/>
          <w:sz w:val="20"/>
          <w:szCs w:val="20"/>
          <w:shd w:val="clear" w:color="auto" w:fill="FFFFFF"/>
          <w:lang w:val="et-EE"/>
        </w:rPr>
        <w:t xml:space="preserve">näeb koostamisel olev üldplaneering ette järgmisi suuniseid ja tingimusi: </w:t>
      </w:r>
    </w:p>
    <w:bookmarkEnd w:id="1"/>
    <w:p w14:paraId="3B9AE196" w14:textId="77777777" w:rsidR="00051B1F" w:rsidRPr="00051B1F" w:rsidRDefault="00051B1F" w:rsidP="00051B1F">
      <w:pPr>
        <w:pStyle w:val="Default"/>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2.9.3.2.</w:t>
      </w:r>
      <w:r w:rsidRPr="00051B1F">
        <w:rPr>
          <w:rFonts w:ascii="IBM Plex Serif" w:eastAsia="IBM Plex Sans Regular" w:hAnsi="IBM Plex Serif" w:cs="IBM Plex Sans Regular"/>
          <w:noProof/>
          <w:sz w:val="20"/>
          <w:szCs w:val="20"/>
          <w:shd w:val="clear" w:color="auto" w:fill="FFFFFF"/>
          <w:lang w:val="et-EE"/>
        </w:rPr>
        <w:tab/>
        <w:t>Ajalooline külasüdamiku ala</w:t>
      </w:r>
    </w:p>
    <w:p w14:paraId="3FCD1800"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Soositud ehitustegevusega ala, kus tuleb võimalikult suurel määral taastada külade kunagist struktuuri. Arhitektuurilised tingimused on osaliselt täpsustatud. Määratud on hoone kohustuslik maht, vorm, paigutus ning imiteerivad materjalid on keelatud. Muus osas on lubatud traditsioonilisest eristuda, kui see on analüüsi alusel sobiv lahendus.</w:t>
      </w:r>
    </w:p>
    <w:p w14:paraId="3A1E900B"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Vana talukoha taastamisel ja uue hoone kavandamisel olemasoleval õuealal:</w:t>
      </w:r>
    </w:p>
    <w:p w14:paraId="4188B9E2"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kui järgitakse nii kohustuslikke kui ka soovituslikke ehitustingimusi, on võimalik taotleda projekteerimistingimused;</w:t>
      </w:r>
    </w:p>
    <w:p w14:paraId="354FDC4F"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kui järgitakse vaid kohustuslikke tingimusi, tuleb läbi viia avatud menetlus projekteerimistingimuste andmisel ning koos taotlusega esitada analüüs, kuidas kavandatud lahendus mõjutab õuele avanevaid vaateid avalikust ruumist.</w:t>
      </w:r>
    </w:p>
    <w:p w14:paraId="53C387EF"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Uue majapidamise kavandamine:</w:t>
      </w:r>
    </w:p>
    <w:p w14:paraId="0F42AF5F"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 xml:space="preserve">on lubatud olemasoleval vähemalt 3000 m² pindalaga hoonestamata kinnistul. Läbi tuleb viia avatud menetlus projekteerimistingimuste andmisel ning koos taotlusega esitada maastikuanalüüs, mis käsitleb seda, kuidas kavandatud lahendus mõjutab õuele avanevaid vaateid avalikust ruumist. </w:t>
      </w:r>
    </w:p>
    <w:p w14:paraId="0C4E974C"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uuteks kruntideks jagamisel tuleb järgida konkreetse küla eritingimusi ning sellest lähtuvalt vajadusel koostada detailplaneering.</w:t>
      </w:r>
    </w:p>
    <w:p w14:paraId="3E0EF289"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Kohustuslikud maakasutus- ja ehitustingimused elamute ja nende abihoonete ehitamisel:</w:t>
      </w:r>
    </w:p>
    <w:p w14:paraId="5E7B46E3"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hoonete paigutus peab koonduma ümber õue, hoonetel võib olla üks põhikorrus ja järsk (viilunurk: 40-45°) kahepoolse kalde ja räästaga viilkatus;</w:t>
      </w:r>
    </w:p>
    <w:p w14:paraId="3A5B597E"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maksimaalne katastriüksuse täisehitusprotsent on 15%;</w:t>
      </w:r>
    </w:p>
    <w:p w14:paraId="5D85073F"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hoone maksimaalne kõrgus on lubatud kuni 9 m;</w:t>
      </w:r>
    </w:p>
    <w:p w14:paraId="5373D8DF"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põhihoone ehitisealune pind peab jääma vahemikku 60 m² - 200 m²;</w:t>
      </w:r>
    </w:p>
    <w:p w14:paraId="1E53CCD0"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põhihoone põhiplaani pikkuse-laiuse suhe peab olema vähemalt 3:2 (pikkus võib olla suurem);</w:t>
      </w:r>
    </w:p>
    <w:p w14:paraId="0FE50D53"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abihoonete ehitamine (nii ehitusloa kohustuslikud kui ka mitte ehitusloa kohustuslikud) ei ole lubatud ilma põhihooneta, abihoone ehitusega võib alustada peale põhihoone ehitustegevusega alustamist;</w:t>
      </w:r>
    </w:p>
    <w:p w14:paraId="613CE0BF"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lastRenderedPageBreak/>
        <w:t></w:t>
      </w:r>
      <w:r w:rsidRPr="00051B1F">
        <w:rPr>
          <w:rFonts w:ascii="IBM Plex Serif" w:eastAsia="IBM Plex Sans Regular" w:hAnsi="IBM Plex Serif" w:cs="IBM Plex Sans Regular"/>
          <w:noProof/>
          <w:sz w:val="20"/>
          <w:szCs w:val="20"/>
          <w:shd w:val="clear" w:color="auto" w:fill="FFFFFF"/>
          <w:lang w:val="et-EE"/>
        </w:rPr>
        <w:tab/>
        <w:t>abihooned tuleb kavandada põhihoonest madalamad;</w:t>
      </w:r>
    </w:p>
    <w:p w14:paraId="7786F70B" w14:textId="77777777" w:rsidR="00051B1F" w:rsidRPr="00051B1F" w:rsidRDefault="00051B1F" w:rsidP="00FC5A11">
      <w:pPr>
        <w:pStyle w:val="Default"/>
        <w:numPr>
          <w:ilvl w:val="0"/>
          <w:numId w:val="6"/>
        </w:numPr>
        <w:spacing w:line="20" w:lineRule="atLeast"/>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põhihoonena ümarpalkmaja ilma voodrita ei ole lubatud ehitada;</w:t>
      </w:r>
    </w:p>
    <w:p w14:paraId="1263416A" w14:textId="0FC06446" w:rsidR="00051B1F" w:rsidRPr="00F36980" w:rsidRDefault="00051B1F" w:rsidP="00FC5A11">
      <w:pPr>
        <w:pStyle w:val="Default"/>
        <w:numPr>
          <w:ilvl w:val="0"/>
          <w:numId w:val="6"/>
        </w:numPr>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051B1F">
        <w:rPr>
          <w:rFonts w:ascii="IBM Plex Serif" w:eastAsia="IBM Plex Sans Regular" w:hAnsi="IBM Plex Serif" w:cs="IBM Plex Sans Regular"/>
          <w:noProof/>
          <w:sz w:val="20"/>
          <w:szCs w:val="20"/>
          <w:shd w:val="clear" w:color="auto" w:fill="FFFFFF"/>
          <w:lang w:val="et-EE"/>
        </w:rPr>
        <w:t></w:t>
      </w:r>
      <w:r w:rsidRPr="00051B1F">
        <w:rPr>
          <w:rFonts w:ascii="IBM Plex Serif" w:eastAsia="IBM Plex Sans Regular" w:hAnsi="IBM Plex Serif" w:cs="IBM Plex Sans Regular"/>
          <w:noProof/>
          <w:sz w:val="20"/>
          <w:szCs w:val="20"/>
          <w:shd w:val="clear" w:color="auto" w:fill="FFFFFF"/>
          <w:lang w:val="et-EE"/>
        </w:rPr>
        <w:tab/>
        <w:t>piiratud on imiteerivate materjalide kasutamine (erisus on võimalik KOV’i kaalutlusotsusega uute tehnoloogiate korral – näiteks päikese energiat salvestavad katuse plaadid, katusekivid vms on lubatud);</w:t>
      </w:r>
    </w:p>
    <w:p w14:paraId="655FE2BB" w14:textId="7633A477" w:rsidR="00BD096B" w:rsidRPr="00FC5A11" w:rsidRDefault="00FC5A11" w:rsidP="00FC5A11">
      <w:pPr>
        <w:pStyle w:val="Default"/>
        <w:spacing w:before="0" w:line="20" w:lineRule="atLeast"/>
        <w:ind w:left="720" w:right="0"/>
        <w:jc w:val="both"/>
        <w:rPr>
          <w:rFonts w:ascii="IBM Plex Serif" w:eastAsia="IBM Plex Sans Regular" w:hAnsi="IBM Plex Serif" w:cs="IBM Plex Sans Regular"/>
          <w:b/>
          <w:bCs/>
          <w:noProof/>
          <w:sz w:val="20"/>
          <w:szCs w:val="20"/>
          <w:shd w:val="clear" w:color="auto" w:fill="FFFFFF"/>
          <w:lang w:val="et-EE"/>
        </w:rPr>
      </w:pPr>
      <w:r>
        <w:rPr>
          <w:rFonts w:ascii="IBM Plex Serif" w:eastAsia="IBM Plex Sans Regular" w:hAnsi="IBM Plex Serif" w:cs="IBM Plex Sans Regular"/>
          <w:b/>
          <w:bCs/>
          <w:noProof/>
          <w:sz w:val="20"/>
          <w:szCs w:val="20"/>
          <w:shd w:val="clear" w:color="auto" w:fill="FFFFFF"/>
          <w:lang w:val="et-EE"/>
        </w:rPr>
        <w:t>E</w:t>
      </w:r>
      <w:r w:rsidR="00051B1F" w:rsidRPr="00FC5A11">
        <w:rPr>
          <w:rFonts w:ascii="IBM Plex Serif" w:eastAsia="IBM Plex Sans Regular" w:hAnsi="IBM Plex Serif" w:cs="IBM Plex Sans Regular"/>
          <w:b/>
          <w:bCs/>
          <w:noProof/>
          <w:sz w:val="20"/>
          <w:szCs w:val="20"/>
          <w:shd w:val="clear" w:color="auto" w:fill="FFFFFF"/>
          <w:lang w:val="et-EE"/>
        </w:rPr>
        <w:t>ritingumused</w:t>
      </w:r>
      <w:r>
        <w:rPr>
          <w:rFonts w:ascii="IBM Plex Serif" w:eastAsia="IBM Plex Sans Regular" w:hAnsi="IBM Plex Serif" w:cs="IBM Plex Sans Regular"/>
          <w:b/>
          <w:bCs/>
          <w:noProof/>
          <w:sz w:val="20"/>
          <w:szCs w:val="20"/>
          <w:shd w:val="clear" w:color="auto" w:fill="FFFFFF"/>
          <w:lang w:val="et-EE"/>
        </w:rPr>
        <w:t xml:space="preserve"> Hosby külas</w:t>
      </w:r>
    </w:p>
    <w:p w14:paraId="257AFE7C" w14:textId="77777777" w:rsidR="00051B1F" w:rsidRDefault="00051B1F"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p>
    <w:p w14:paraId="1BB45FBF" w14:textId="72498F7F" w:rsidR="00051B1F" w:rsidRPr="002162D2" w:rsidRDefault="00051B1F" w:rsidP="00FC5A11">
      <w:pPr>
        <w:numPr>
          <w:ilvl w:val="0"/>
          <w:numId w:val="6"/>
        </w:numPr>
        <w:spacing w:before="120" w:after="120" w:line="300" w:lineRule="auto"/>
        <w:jc w:val="both"/>
        <w:rPr>
          <w:rFonts w:eastAsiaTheme="minorEastAsia"/>
        </w:rPr>
      </w:pPr>
      <w:r w:rsidRPr="3FB2418A">
        <w:rPr>
          <w:rFonts w:eastAsiaTheme="minorEastAsia"/>
        </w:rPr>
        <w:t>ehitust kavandades ja planeerides arvestada, et tegemist on asundusperioodist pärinev hajusa struktuuriga külaga, kus suurem osa talusid pole algupäraselt säilinud, vaid on kas hävinud või hiljem taastatud. Krundid on regulaarsed ning pikaks venitatud ristkülikud, taluõued on regulaarselt põhja pool külateed, õuede vahekaugus on reeglina 60 m, erandina 30 m;</w:t>
      </w:r>
    </w:p>
    <w:p w14:paraId="71C9DFFA" w14:textId="77777777" w:rsidR="00051B1F" w:rsidRPr="002162D2" w:rsidRDefault="00051B1F" w:rsidP="00FC5A11">
      <w:pPr>
        <w:numPr>
          <w:ilvl w:val="0"/>
          <w:numId w:val="6"/>
        </w:numPr>
        <w:spacing w:before="120" w:after="120" w:line="300" w:lineRule="auto"/>
        <w:jc w:val="both"/>
        <w:rPr>
          <w:rFonts w:eastAsiaTheme="minorEastAsia"/>
        </w:rPr>
      </w:pPr>
      <w:r>
        <w:rPr>
          <w:rFonts w:eastAsiaTheme="minorEastAsia"/>
        </w:rPr>
        <w:t>k</w:t>
      </w:r>
      <w:r w:rsidRPr="002162D2">
        <w:rPr>
          <w:rFonts w:eastAsiaTheme="minorEastAsia"/>
        </w:rPr>
        <w:t>uivõrd piklikud asundusaegsed krundid on hästi säilinud, ei ole olemasolevate kruntide jagamine reeglina lubatud</w:t>
      </w:r>
      <w:r>
        <w:rPr>
          <w:rFonts w:eastAsiaTheme="minorEastAsia"/>
        </w:rPr>
        <w:t>;</w:t>
      </w:r>
    </w:p>
    <w:p w14:paraId="3BB79008" w14:textId="579C6014" w:rsidR="00051B1F" w:rsidRDefault="00051B1F" w:rsidP="00741375">
      <w:pPr>
        <w:numPr>
          <w:ilvl w:val="0"/>
          <w:numId w:val="6"/>
        </w:numPr>
        <w:spacing w:before="120" w:after="120" w:line="300" w:lineRule="auto"/>
        <w:jc w:val="both"/>
        <w:rPr>
          <w:rFonts w:eastAsiaTheme="minorEastAsia"/>
        </w:rPr>
      </w:pPr>
      <w:r>
        <w:rPr>
          <w:rFonts w:eastAsiaTheme="minorEastAsia"/>
        </w:rPr>
        <w:t>l</w:t>
      </w:r>
      <w:r w:rsidRPr="002162D2">
        <w:rPr>
          <w:rFonts w:eastAsiaTheme="minorEastAsia"/>
        </w:rPr>
        <w:t>ubatud on olemasolevate kruntide hoonestamine, kui taluõuede paigutusel võetakse arvesse välja kujunenud hoonestusjoont</w:t>
      </w:r>
      <w:r>
        <w:rPr>
          <w:rFonts w:eastAsiaTheme="minorEastAsia"/>
        </w:rPr>
        <w:t>;</w:t>
      </w:r>
    </w:p>
    <w:p w14:paraId="57EC34D9" w14:textId="77777777" w:rsidR="00051B1F" w:rsidRPr="00F36980" w:rsidRDefault="00051B1F"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p>
    <w:p w14:paraId="4856F3C5" w14:textId="4D1B2252" w:rsidR="009B250C" w:rsidRPr="00F36980" w:rsidRDefault="009B250C" w:rsidP="009B250C">
      <w:pPr>
        <w:pStyle w:val="Default"/>
        <w:spacing w:before="0" w:line="20" w:lineRule="atLeast"/>
        <w:ind w:right="0"/>
        <w:jc w:val="both"/>
        <w:rPr>
          <w:rFonts w:ascii="IBM Plex Serif" w:eastAsia="IBM Plex Sans Regular" w:hAnsi="IBM Plex Serif" w:cs="IBM Plex Sans Regular"/>
          <w:b/>
          <w:bCs/>
          <w:noProof/>
          <w:sz w:val="20"/>
          <w:szCs w:val="20"/>
          <w:shd w:val="clear" w:color="auto" w:fill="FFFFFF"/>
          <w:lang w:val="et-EE"/>
        </w:rPr>
      </w:pPr>
      <w:r w:rsidRPr="00F36980">
        <w:rPr>
          <w:rFonts w:ascii="IBM Plex Serif" w:hAnsi="IBM Plex Serif"/>
          <w:b/>
          <w:bCs/>
          <w:noProof/>
          <w:sz w:val="20"/>
          <w:szCs w:val="20"/>
          <w:shd w:val="clear" w:color="auto" w:fill="FFFFFF"/>
          <w:lang w:val="et-EE"/>
        </w:rPr>
        <w:t>I</w:t>
      </w:r>
      <w:r w:rsidR="00BD096B" w:rsidRPr="00F36980">
        <w:rPr>
          <w:rFonts w:ascii="IBM Plex Serif" w:hAnsi="IBM Plex Serif"/>
          <w:b/>
          <w:bCs/>
          <w:noProof/>
          <w:sz w:val="20"/>
          <w:szCs w:val="20"/>
          <w:shd w:val="clear" w:color="auto" w:fill="FFFFFF"/>
          <w:lang w:val="et-EE"/>
        </w:rPr>
        <w:t>V</w:t>
      </w:r>
      <w:r w:rsidRPr="00F36980">
        <w:rPr>
          <w:rFonts w:ascii="IBM Plex Serif" w:hAnsi="IBM Plex Serif"/>
          <w:b/>
          <w:bCs/>
          <w:noProof/>
          <w:sz w:val="20"/>
          <w:szCs w:val="20"/>
          <w:shd w:val="clear" w:color="auto" w:fill="FFFFFF"/>
          <w:lang w:val="et-EE"/>
        </w:rPr>
        <w:t xml:space="preserve"> Seos maakonnaplaneeringuga</w:t>
      </w:r>
    </w:p>
    <w:p w14:paraId="4AD2A61B" w14:textId="77777777" w:rsidR="009B250C" w:rsidRPr="00F36980" w:rsidRDefault="009B250C"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hAnsi="IBM Plex Serif"/>
          <w:noProof/>
          <w:sz w:val="20"/>
          <w:szCs w:val="20"/>
          <w:shd w:val="clear" w:color="auto" w:fill="FFFFFF"/>
          <w:lang w:val="et-EE"/>
        </w:rPr>
        <w:t>Vastavalt Lääne maakonnaplaneeringule 2030+ (kehtestatud 22.03.2018 riigihalduse ministri käskkirjaga nr 1.1-4/70, edaspidi maakonnaplaneering) on Vormsi saar tervikuna I klassi väärtuslik kultuur- ja loodusmaastik. Haapsalu laht koos Vormsi saarega (ja Noarootsi poolsaarega ja Nõva piirkond) on maakonnaplaneeringuga määratud rahvusvahelise ja riikliku tähtsusega rohevõrgustiku tugialaks.</w:t>
      </w:r>
    </w:p>
    <w:p w14:paraId="0E3B35F9" w14:textId="77777777" w:rsidR="009B250C" w:rsidRPr="00F36980" w:rsidRDefault="009B250C"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hAnsi="IBM Plex Serif"/>
          <w:noProof/>
          <w:sz w:val="20"/>
          <w:szCs w:val="20"/>
          <w:shd w:val="clear" w:color="auto" w:fill="FFFFFF"/>
          <w:lang w:val="et-EE"/>
        </w:rPr>
        <w:t>Asjakohased üldised põhimõtted väärtuslike loodus- ja kultuurmaastike säilitamiseks on maakonnaplaneeringus järgmised: </w:t>
      </w:r>
    </w:p>
    <w:p w14:paraId="109254F8" w14:textId="251EB3B6" w:rsidR="009B250C" w:rsidRPr="00741375" w:rsidRDefault="009B250C" w:rsidP="009B250C">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Hajaasustuses rannaaladel, kus on ka väärtuslik maastik, tuleb määrata ehituskeeluvöönd vähemalt 1,5 m samakõrgusjooneni, vältimaks seeläbi üleujutusohtu. Samuti tuleb vältida maapinna täitmist, välja arvatud ajaloolise hoonestusega aladel.</w:t>
      </w:r>
    </w:p>
    <w:p w14:paraId="47F409F2" w14:textId="77777777" w:rsidR="00741375" w:rsidRPr="00F36980" w:rsidRDefault="00741375" w:rsidP="009B250C">
      <w:pPr>
        <w:pStyle w:val="Default"/>
        <w:numPr>
          <w:ilvl w:val="0"/>
          <w:numId w:val="2"/>
        </w:numPr>
        <w:spacing w:before="0" w:line="20" w:lineRule="atLeast"/>
        <w:ind w:right="0"/>
        <w:jc w:val="both"/>
        <w:rPr>
          <w:rFonts w:ascii="IBM Plex Serif" w:hAnsi="IBM Plex Serif"/>
          <w:noProof/>
          <w:sz w:val="20"/>
          <w:szCs w:val="20"/>
          <w:lang w:val="et-EE"/>
        </w:rPr>
      </w:pPr>
    </w:p>
    <w:p w14:paraId="58D27AD2" w14:textId="77777777" w:rsidR="009B250C" w:rsidRPr="00F36980" w:rsidRDefault="009B250C" w:rsidP="009B250C">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Väärtusliku maastiku alale ehitamisel tuleb jälgida kohalikku ehitustraditsiooni ning hoone sobivust maastikku. Uusehitiste rajamisel tuleb kaaluda nende sobivust küla ajaloolise arhitektuuriga, sh struktuuri ja mahtudega. </w:t>
      </w:r>
      <w:r w:rsidRPr="00F36980">
        <w:rPr>
          <w:rFonts w:ascii="IBM Plex Serif" w:hAnsi="IBM Plex Serif"/>
          <w:noProof/>
          <w:sz w:val="20"/>
          <w:szCs w:val="20"/>
          <w:shd w:val="clear" w:color="auto" w:fill="FFFFFF"/>
          <w:lang w:val="et-EE"/>
        </w:rPr>
        <w:br/>
      </w:r>
    </w:p>
    <w:p w14:paraId="1DBEA421" w14:textId="77777777" w:rsidR="009B250C" w:rsidRPr="00F36980" w:rsidRDefault="009B250C" w:rsidP="009B250C">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Väärtuslikel maastikel asuvad põllumajandusmaad ja kultuurrohumaad tuleb hoida võimalusel kasutuses.</w:t>
      </w:r>
      <w:r w:rsidRPr="00F36980">
        <w:rPr>
          <w:rFonts w:ascii="IBM Plex Serif" w:eastAsia="IBM Plex Sans Regular" w:hAnsi="IBM Plex Serif" w:cs="IBM Plex Sans Regular"/>
          <w:noProof/>
          <w:sz w:val="20"/>
          <w:szCs w:val="20"/>
          <w:shd w:val="clear" w:color="auto" w:fill="FFFFFF"/>
          <w:lang w:val="et-EE"/>
        </w:rPr>
        <w:br/>
      </w:r>
    </w:p>
    <w:p w14:paraId="35AB57A9" w14:textId="77777777" w:rsidR="009B250C" w:rsidRPr="00F36980" w:rsidRDefault="009B250C"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hAnsi="IBM Plex Serif"/>
          <w:noProof/>
          <w:sz w:val="20"/>
          <w:szCs w:val="20"/>
          <w:shd w:val="clear" w:color="auto" w:fill="FFFFFF"/>
          <w:lang w:val="et-EE"/>
        </w:rPr>
        <w:t>Asjakohased üldised põhimõtted rohelise võrgustiku sidususe säilitamiseks ja toimimiseks on maakonnaplaneeringus järgmised:</w:t>
      </w:r>
    </w:p>
    <w:p w14:paraId="7D2EA9A3" w14:textId="77777777" w:rsidR="000012AC" w:rsidRPr="00B27206" w:rsidRDefault="000012AC" w:rsidP="000012AC">
      <w:pPr>
        <w:pStyle w:val="Defaul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0" w:lineRule="atLeast"/>
        <w:ind w:right="0"/>
        <w:jc w:val="both"/>
        <w:rPr>
          <w:rFonts w:ascii="IBM Plex Serif" w:hAnsi="IBM Plex Serif"/>
          <w:sz w:val="20"/>
          <w:szCs w:val="20"/>
          <w:lang w:val="et-EE"/>
        </w:rPr>
      </w:pPr>
      <w:r w:rsidRPr="001548AD">
        <w:rPr>
          <w:rFonts w:ascii="IBM Plex Serif" w:hAnsi="IBM Plex Serif"/>
          <w:sz w:val="20"/>
          <w:szCs w:val="20"/>
          <w:shd w:val="clear" w:color="auto" w:fill="FFFFFF"/>
          <w:lang w:val="et-EE"/>
        </w:rPr>
        <w:t xml:space="preserve">Rohelise võrgustiku alal asuva </w:t>
      </w:r>
      <w:r w:rsidRPr="00B27206">
        <w:rPr>
          <w:rFonts w:ascii="IBM Plex Serif" w:hAnsi="IBM Plex Serif"/>
          <w:sz w:val="20"/>
          <w:szCs w:val="20"/>
          <w:shd w:val="clear" w:color="auto" w:fill="FFFFFF"/>
          <w:lang w:val="et-EE"/>
        </w:rPr>
        <w:t>metsamajandus</w:t>
      </w:r>
      <w:r>
        <w:rPr>
          <w:rFonts w:ascii="IBM Plex Serif" w:hAnsi="IBM Plex Serif"/>
          <w:sz w:val="20"/>
          <w:szCs w:val="20"/>
          <w:shd w:val="clear" w:color="auto" w:fill="FFFFFF"/>
          <w:lang w:val="et-EE"/>
        </w:rPr>
        <w:t xml:space="preserve">- ja </w:t>
      </w:r>
      <w:r w:rsidRPr="001548AD">
        <w:rPr>
          <w:rFonts w:ascii="IBM Plex Serif" w:hAnsi="IBM Plex Serif"/>
          <w:sz w:val="20"/>
          <w:szCs w:val="20"/>
          <w:shd w:val="clear" w:color="auto" w:fill="FFFFFF"/>
          <w:lang w:val="et-EE"/>
        </w:rPr>
        <w:t>põllumajandusmaa olemasolevat sihtotstarvet (maatulundusmaa) muutes hinnatakse selle mõju rohelise võrgustiku toimimisele.</w:t>
      </w:r>
    </w:p>
    <w:p w14:paraId="2E53383F" w14:textId="77777777" w:rsidR="009B250C" w:rsidRPr="00F36980" w:rsidRDefault="009B250C" w:rsidP="009B250C">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 xml:space="preserve">Rannaaladel asuva rohelise võrgustiku puhul on soovitav määrata ehituskeeluvöönd, vähemalt 1,5 m samakõrgusjooneni, arvestada selle juures üleujutusohuga. Vältida tuleb </w:t>
      </w:r>
      <w:r w:rsidRPr="00F36980">
        <w:rPr>
          <w:rFonts w:ascii="IBM Plex Serif" w:hAnsi="IBM Plex Serif"/>
          <w:noProof/>
          <w:sz w:val="20"/>
          <w:szCs w:val="20"/>
          <w:shd w:val="clear" w:color="auto" w:fill="FFFFFF"/>
          <w:lang w:val="et-EE"/>
        </w:rPr>
        <w:lastRenderedPageBreak/>
        <w:t>ka maapinna täitmist.</w:t>
      </w:r>
      <w:r w:rsidRPr="00F36980">
        <w:rPr>
          <w:rFonts w:ascii="IBM Plex Serif" w:eastAsia="IBM Plex Sans Regular" w:hAnsi="IBM Plex Serif" w:cs="IBM Plex Sans Regular"/>
          <w:noProof/>
          <w:sz w:val="20"/>
          <w:szCs w:val="20"/>
          <w:shd w:val="clear" w:color="auto" w:fill="FFFFFF"/>
          <w:lang w:val="et-EE"/>
        </w:rPr>
        <w:br/>
      </w:r>
    </w:p>
    <w:p w14:paraId="49A194A4" w14:textId="77777777" w:rsidR="009B250C" w:rsidRPr="00F36980" w:rsidRDefault="009B250C" w:rsidP="009B250C">
      <w:pPr>
        <w:pStyle w:val="Default"/>
        <w:numPr>
          <w:ilvl w:val="0"/>
          <w:numId w:val="2"/>
        </w:numPr>
        <w:spacing w:before="0" w:line="20" w:lineRule="atLeast"/>
        <w:ind w:right="0"/>
        <w:jc w:val="both"/>
        <w:rPr>
          <w:rFonts w:ascii="IBM Plex Serif" w:hAnsi="IBM Plex Serif"/>
          <w:noProof/>
          <w:sz w:val="20"/>
          <w:szCs w:val="20"/>
          <w:lang w:val="et-EE"/>
        </w:rPr>
      </w:pPr>
      <w:r w:rsidRPr="00F36980">
        <w:rPr>
          <w:rFonts w:ascii="IBM Plex Serif" w:hAnsi="IBM Plex Serif"/>
          <w:noProof/>
          <w:sz w:val="20"/>
          <w:szCs w:val="20"/>
          <w:shd w:val="clear" w:color="auto" w:fill="FFFFFF"/>
          <w:lang w:val="et-EE"/>
        </w:rPr>
        <w:t>Ehitusalade valik, sh ka infrastruktuuride rajamine, peab väljaspool olemasolevaid kompaktseid elamu- ja tootmisalasid lähtuma rohelisest võrgustikust.</w:t>
      </w:r>
      <w:r w:rsidRPr="00F36980">
        <w:rPr>
          <w:rFonts w:ascii="IBM Plex Serif" w:eastAsia="IBM Plex Sans Regular" w:hAnsi="IBM Plex Serif" w:cs="IBM Plex Sans Regular"/>
          <w:noProof/>
          <w:sz w:val="20"/>
          <w:szCs w:val="20"/>
          <w:shd w:val="clear" w:color="auto" w:fill="FFFFFF"/>
          <w:lang w:val="et-EE"/>
        </w:rPr>
        <w:br/>
      </w:r>
    </w:p>
    <w:p w14:paraId="56D0238E" w14:textId="77777777" w:rsidR="009B250C" w:rsidRPr="00F36980" w:rsidRDefault="009B250C"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hAnsi="IBM Plex Serif"/>
          <w:noProof/>
          <w:sz w:val="20"/>
          <w:szCs w:val="20"/>
          <w:shd w:val="clear" w:color="auto" w:fill="FFFFFF"/>
          <w:lang w:val="et-EE"/>
        </w:rPr>
        <w:t>Detailplaneering ei ole maakonnaplaneeringuga vastuolus eeldusel, et järgitakse maakonnaplaneeringuga seatud põhimõtteid. Detailplaneeringu alal ei ole ajalooliselt rannaküla olnud.</w:t>
      </w:r>
    </w:p>
    <w:p w14:paraId="09F0DF79" w14:textId="77777777" w:rsidR="009B250C" w:rsidRPr="00F36980" w:rsidRDefault="009B250C" w:rsidP="009B250C">
      <w:pPr>
        <w:pStyle w:val="Default"/>
        <w:spacing w:before="0" w:line="20" w:lineRule="atLeast"/>
        <w:ind w:right="0"/>
        <w:rPr>
          <w:rFonts w:ascii="IBM Plex Serif" w:eastAsia="IBM Plex Sans Regular" w:hAnsi="IBM Plex Serif" w:cs="IBM Plex Sans Regular"/>
          <w:noProof/>
          <w:sz w:val="20"/>
          <w:szCs w:val="20"/>
          <w:shd w:val="clear" w:color="auto" w:fill="FFFFFF"/>
          <w:lang w:val="et-EE"/>
        </w:rPr>
      </w:pPr>
    </w:p>
    <w:p w14:paraId="0BE4D52F" w14:textId="4B73E4CF" w:rsidR="009B250C" w:rsidRPr="00F36980" w:rsidRDefault="009B250C" w:rsidP="009B250C">
      <w:pPr>
        <w:pStyle w:val="Default"/>
        <w:spacing w:before="0" w:line="20" w:lineRule="atLeast"/>
        <w:ind w:right="0"/>
        <w:jc w:val="both"/>
        <w:rPr>
          <w:rFonts w:ascii="IBM Plex Serif" w:eastAsia="IBM Plex Sans Regular" w:hAnsi="IBM Plex Serif" w:cs="IBM Plex Sans Regular"/>
          <w:b/>
          <w:bCs/>
          <w:noProof/>
          <w:sz w:val="20"/>
          <w:szCs w:val="20"/>
          <w:shd w:val="clear" w:color="auto" w:fill="FFFFFF"/>
          <w:lang w:val="et-EE"/>
        </w:rPr>
      </w:pPr>
      <w:r w:rsidRPr="00F36980">
        <w:rPr>
          <w:rFonts w:ascii="IBM Plex Serif" w:hAnsi="IBM Plex Serif"/>
          <w:b/>
          <w:bCs/>
          <w:noProof/>
          <w:sz w:val="20"/>
          <w:szCs w:val="20"/>
          <w:shd w:val="clear" w:color="auto" w:fill="FFFFFF"/>
          <w:lang w:val="et-EE"/>
        </w:rPr>
        <w:t>V Kaalutluse</w:t>
      </w:r>
      <w:r w:rsidR="009A02DD">
        <w:rPr>
          <w:rFonts w:ascii="IBM Plex Serif" w:hAnsi="IBM Plex Serif"/>
          <w:b/>
          <w:bCs/>
          <w:noProof/>
          <w:sz w:val="20"/>
          <w:szCs w:val="20"/>
          <w:shd w:val="clear" w:color="auto" w:fill="FFFFFF"/>
          <w:lang w:val="et-EE"/>
        </w:rPr>
        <w:t xml:space="preserve"> ja kokkuvõte</w:t>
      </w:r>
    </w:p>
    <w:p w14:paraId="64D310DD" w14:textId="77777777" w:rsidR="009B250C" w:rsidRPr="00F36980" w:rsidRDefault="009B250C"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hAnsi="IBM Plex Serif"/>
          <w:noProof/>
          <w:sz w:val="20"/>
          <w:szCs w:val="20"/>
          <w:shd w:val="clear" w:color="auto" w:fill="FFFFFF"/>
          <w:lang w:val="et-EE"/>
        </w:rPr>
        <w:t>Detailplaneeringu algatamise vajadus tuleneb üldplaneeringust, mille kohaselt ehitussurve tasakaalustamiseks, hajutatud asustuse tekkimise reguleerimiseks rannaaladel ning loodusmaastike säilitamiseks on rannapiirkondades detailplaneeringu koostamine sisuliselt vajalik.</w:t>
      </w:r>
    </w:p>
    <w:p w14:paraId="3B2D5903" w14:textId="34F03082" w:rsidR="009B250C" w:rsidRPr="00F36980" w:rsidRDefault="009B250C" w:rsidP="009B250C">
      <w:pPr>
        <w:pStyle w:val="Default"/>
        <w:spacing w:before="0" w:line="20" w:lineRule="atLeast"/>
        <w:ind w:right="0"/>
        <w:jc w:val="both"/>
        <w:rPr>
          <w:rFonts w:ascii="IBM Plex Serif" w:eastAsia="IBM Plex Sans Regular" w:hAnsi="IBM Plex Serif" w:cs="IBM Plex Sans Regular"/>
          <w:noProof/>
          <w:sz w:val="20"/>
          <w:szCs w:val="20"/>
          <w:shd w:val="clear" w:color="auto" w:fill="FFFFFF"/>
          <w:lang w:val="et-EE"/>
        </w:rPr>
      </w:pPr>
      <w:r w:rsidRPr="00F36980">
        <w:rPr>
          <w:rFonts w:ascii="IBM Plex Serif" w:hAnsi="IBM Plex Serif"/>
          <w:noProof/>
          <w:sz w:val="20"/>
          <w:szCs w:val="20"/>
          <w:shd w:val="clear" w:color="auto" w:fill="FFFFFF"/>
          <w:lang w:val="et-EE"/>
        </w:rPr>
        <w:t>Detailplaneeringu ala</w:t>
      </w:r>
      <w:r w:rsidR="006F3C01" w:rsidRPr="00F36980">
        <w:rPr>
          <w:rFonts w:ascii="IBM Plex Serif" w:hAnsi="IBM Plex Serif"/>
          <w:noProof/>
          <w:sz w:val="20"/>
          <w:szCs w:val="20"/>
          <w:shd w:val="clear" w:color="auto" w:fill="FFFFFF"/>
          <w:lang w:val="et-EE"/>
        </w:rPr>
        <w:t>l puudub varasem hoonestus, juurdepääs ja kommunikatsioonid (vesi, elekter).</w:t>
      </w:r>
      <w:r w:rsidRPr="00F36980">
        <w:rPr>
          <w:rFonts w:ascii="IBM Plex Serif" w:hAnsi="IBM Plex Serif"/>
          <w:noProof/>
          <w:sz w:val="20"/>
          <w:szCs w:val="20"/>
          <w:shd w:val="clear" w:color="auto" w:fill="FFFFFF"/>
          <w:lang w:val="et-EE"/>
        </w:rPr>
        <w:t xml:space="preserve"> </w:t>
      </w:r>
      <w:r w:rsidR="006F3C01" w:rsidRPr="00F36980">
        <w:rPr>
          <w:rFonts w:ascii="IBM Plex Serif" w:hAnsi="IBM Plex Serif"/>
          <w:noProof/>
          <w:sz w:val="20"/>
          <w:szCs w:val="20"/>
          <w:shd w:val="clear" w:color="auto" w:fill="FFFFFF"/>
          <w:lang w:val="et-EE"/>
        </w:rPr>
        <w:t>Lähim elamu asub ca 460 m kaugusel.</w:t>
      </w:r>
      <w:r w:rsidRPr="00F36980">
        <w:rPr>
          <w:rFonts w:ascii="IBM Plex Serif" w:hAnsi="IBM Plex Serif"/>
          <w:noProof/>
          <w:sz w:val="20"/>
          <w:szCs w:val="20"/>
          <w:shd w:val="clear" w:color="auto" w:fill="FFFFFF"/>
          <w:lang w:val="et-EE"/>
        </w:rPr>
        <w:t xml:space="preserve"> Järgides üldplaneeringus sätestatud rannaalal ehitamise nõudeid, arvestades antud asukohas eelkõige maastikuliste väärtustega, hoonete ja uute elektriliinide maastikusse sobitamise vajadusega, põhjavee nõrga või keskmise kaitstusega, olemasoleva rohumaa võimalikult terviklikuna hoidmisega ning maatulundusmaa sihtotstarbe muutmise mõjuga rohevõrgustiku toimimisele – leiab Vormsi vald, et detailplaneering ei ole vastuolus üldplaneeringuga ega maakonnaplaneeringust tulenevate nõuetega.</w:t>
      </w:r>
      <w:r w:rsidR="006F3C01" w:rsidRPr="00F36980">
        <w:rPr>
          <w:rFonts w:ascii="IBM Plex Serif" w:hAnsi="IBM Plex Serif"/>
          <w:noProof/>
          <w:sz w:val="20"/>
          <w:szCs w:val="20"/>
          <w:shd w:val="clear" w:color="auto" w:fill="FFFFFF"/>
          <w:lang w:val="et-EE"/>
        </w:rPr>
        <w:t xml:space="preserve"> Siiki tulenevalt ehituskeeluvööndi vähendamise vajadusest tuleb </w:t>
      </w:r>
      <w:r w:rsidR="00BD096B" w:rsidRPr="00F36980">
        <w:rPr>
          <w:rFonts w:ascii="IBM Plex Serif" w:hAnsi="IBM Plex Serif"/>
          <w:noProof/>
          <w:sz w:val="20"/>
          <w:szCs w:val="20"/>
          <w:shd w:val="clear" w:color="auto" w:fill="FFFFFF"/>
          <w:lang w:val="et-EE"/>
        </w:rPr>
        <w:t>muuta kehtivat üldplaneeringut.</w:t>
      </w:r>
    </w:p>
    <w:p w14:paraId="63B3F910" w14:textId="7B43A63D" w:rsidR="00C609D9" w:rsidRPr="009A02DD" w:rsidRDefault="009B250C" w:rsidP="00BD096B">
      <w:pPr>
        <w:pStyle w:val="Default"/>
        <w:spacing w:before="0" w:line="20" w:lineRule="atLeast"/>
        <w:ind w:right="0"/>
        <w:jc w:val="both"/>
        <w:rPr>
          <w:rFonts w:ascii="IBM Plex Serif" w:hAnsi="IBM Plex Serif"/>
          <w:noProof/>
          <w:sz w:val="20"/>
          <w:szCs w:val="20"/>
          <w:shd w:val="clear" w:color="auto" w:fill="FFFFFF"/>
          <w:lang w:val="et-EE"/>
        </w:rPr>
      </w:pPr>
      <w:r w:rsidRPr="00F36980">
        <w:rPr>
          <w:rFonts w:ascii="IBM Plex Serif" w:hAnsi="IBM Plex Serif"/>
          <w:noProof/>
          <w:sz w:val="20"/>
          <w:szCs w:val="20"/>
          <w:shd w:val="clear" w:color="auto" w:fill="FFFFFF"/>
          <w:lang w:val="et-EE"/>
        </w:rPr>
        <w:t xml:space="preserve">Tulenevalt maakonnaplaneeringust on vajalik rohelises võrgustikus eksperthinnang maatulundusmaa sihtotstarbe muutmise mõju avaldumise kohta rohelise võrgustiku toimimisele. </w:t>
      </w:r>
      <w:r w:rsidR="00BA6593" w:rsidRPr="00F36980">
        <w:rPr>
          <w:rFonts w:ascii="IBM Plex Serif" w:hAnsi="IBM Plex Serif"/>
          <w:noProof/>
          <w:sz w:val="20"/>
          <w:szCs w:val="20"/>
          <w:shd w:val="clear" w:color="auto" w:fill="FFFFFF"/>
          <w:lang w:val="et-EE"/>
        </w:rPr>
        <w:t>Uue</w:t>
      </w:r>
      <w:r w:rsidR="009A02DD">
        <w:rPr>
          <w:rFonts w:ascii="IBM Plex Serif" w:hAnsi="IBM Plex Serif"/>
          <w:noProof/>
          <w:sz w:val="20"/>
          <w:szCs w:val="20"/>
          <w:shd w:val="clear" w:color="auto" w:fill="FFFFFF"/>
          <w:lang w:val="et-EE"/>
        </w:rPr>
        <w:t xml:space="preserve"> </w:t>
      </w:r>
      <w:r w:rsidRPr="00F36980">
        <w:rPr>
          <w:rFonts w:ascii="IBM Plex Serif" w:hAnsi="IBM Plex Serif"/>
          <w:noProof/>
          <w:sz w:val="20"/>
          <w:szCs w:val="20"/>
          <w:shd w:val="clear" w:color="auto" w:fill="FFFFFF"/>
          <w:lang w:val="et-EE"/>
        </w:rPr>
        <w:t xml:space="preserve">Vormsi üldplaneeringu koostamise käigus on </w:t>
      </w:r>
      <w:r w:rsidR="00BA6593" w:rsidRPr="00F36980">
        <w:rPr>
          <w:rFonts w:ascii="IBM Plex Serif" w:hAnsi="IBM Plex Serif"/>
          <w:noProof/>
          <w:sz w:val="20"/>
          <w:szCs w:val="20"/>
          <w:shd w:val="clear" w:color="auto" w:fill="FFFFFF"/>
          <w:lang w:val="et-EE"/>
        </w:rPr>
        <w:t>teostatud</w:t>
      </w:r>
      <w:r w:rsidRPr="00F36980">
        <w:rPr>
          <w:rFonts w:ascii="IBM Plex Serif" w:hAnsi="IBM Plex Serif"/>
          <w:noProof/>
          <w:sz w:val="20"/>
          <w:szCs w:val="20"/>
          <w:shd w:val="clear" w:color="auto" w:fill="FFFFFF"/>
          <w:lang w:val="et-EE"/>
        </w:rPr>
        <w:t xml:space="preserve"> rohevõrgustiku an</w:t>
      </w:r>
      <w:r w:rsidR="00BA6593" w:rsidRPr="00F36980">
        <w:rPr>
          <w:rFonts w:ascii="IBM Plex Serif" w:hAnsi="IBM Plex Serif"/>
          <w:noProof/>
          <w:sz w:val="20"/>
          <w:szCs w:val="20"/>
          <w:shd w:val="clear" w:color="auto" w:fill="FFFFFF"/>
          <w:lang w:val="et-EE"/>
        </w:rPr>
        <w:t>a</w:t>
      </w:r>
      <w:r w:rsidRPr="00F36980">
        <w:rPr>
          <w:rFonts w:ascii="IBM Plex Serif" w:hAnsi="IBM Plex Serif"/>
          <w:noProof/>
          <w:sz w:val="20"/>
          <w:szCs w:val="20"/>
          <w:shd w:val="clear" w:color="auto" w:fill="FFFFFF"/>
          <w:lang w:val="et-EE"/>
        </w:rPr>
        <w:t xml:space="preserve">lüüs, mille kohaselt jääb planeeringuala rohekoridori, mille puhul on </w:t>
      </w:r>
      <w:r w:rsidR="00BD096B" w:rsidRPr="00F36980">
        <w:rPr>
          <w:rFonts w:ascii="IBM Plex Serif" w:hAnsi="IBM Plex Serif"/>
          <w:noProof/>
          <w:sz w:val="20"/>
          <w:szCs w:val="20"/>
          <w:shd w:val="clear" w:color="auto" w:fill="FFFFFF"/>
          <w:lang w:val="et-EE"/>
        </w:rPr>
        <w:t>vaja teha loomade liikumise uuring ja inventeerida võimalikud LD metsa elupaigatüübid, nende väärtus ja tundlikkus ja VEP-id</w:t>
      </w:r>
      <w:r w:rsidRPr="00F36980">
        <w:rPr>
          <w:rFonts w:ascii="IBM Plex Serif" w:hAnsi="IBM Plex Serif"/>
          <w:noProof/>
          <w:sz w:val="20"/>
          <w:szCs w:val="20"/>
          <w:shd w:val="clear" w:color="auto" w:fill="FFFFFF"/>
          <w:lang w:val="et-EE"/>
        </w:rPr>
        <w:t>. Kui detailplaneeringu edasise menetluse käigus selgub, et planeeringulahenduse väljatöötamiseks on vaja teha täiendavaid uuringuid, analüüse, ekspertiise vms, siis tuleb need teha ning planeeringusse lisada.</w:t>
      </w:r>
    </w:p>
    <w:sectPr w:rsidR="00C609D9" w:rsidRPr="009A02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E8FD" w14:textId="77777777" w:rsidR="00496C86" w:rsidRPr="009D5A2B" w:rsidRDefault="00496C86" w:rsidP="009B250C">
      <w:pPr>
        <w:spacing w:after="0" w:line="240" w:lineRule="auto"/>
      </w:pPr>
      <w:r w:rsidRPr="009D5A2B">
        <w:separator/>
      </w:r>
    </w:p>
  </w:endnote>
  <w:endnote w:type="continuationSeparator" w:id="0">
    <w:p w14:paraId="12B1256D" w14:textId="77777777" w:rsidR="00496C86" w:rsidRPr="009D5A2B" w:rsidRDefault="00496C86" w:rsidP="009B250C">
      <w:pPr>
        <w:spacing w:after="0" w:line="240" w:lineRule="auto"/>
      </w:pPr>
      <w:r w:rsidRPr="009D5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IBM Plex Serif">
    <w:altName w:val="IBM Plex Serif"/>
    <w:charset w:val="00"/>
    <w:family w:val="roman"/>
    <w:pitch w:val="variable"/>
    <w:sig w:usb0="A000026F" w:usb1="5000203B" w:usb2="00000000" w:usb3="00000000" w:csb0="00000197" w:csb1="00000000"/>
  </w:font>
  <w:font w:name="IBM Plex Sans Regular">
    <w:altName w:val="IBM Plex Sans"/>
    <w:charset w:val="00"/>
    <w:family w:val="roman"/>
    <w:pitch w:val="variable"/>
  </w:font>
  <w:font w:name="IBM Plex Sans Bold">
    <w:altName w:val="IBM Plex Sans"/>
    <w:charset w:val="00"/>
    <w:family w:val="roman"/>
    <w:pitch w:val="variable"/>
  </w:font>
  <w:font w:name="IBM Plex Sans">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E49B" w14:textId="77777777" w:rsidR="00496C86" w:rsidRPr="009D5A2B" w:rsidRDefault="00496C86" w:rsidP="009B250C">
      <w:pPr>
        <w:spacing w:after="0" w:line="240" w:lineRule="auto"/>
      </w:pPr>
      <w:r w:rsidRPr="009D5A2B">
        <w:separator/>
      </w:r>
    </w:p>
  </w:footnote>
  <w:footnote w:type="continuationSeparator" w:id="0">
    <w:p w14:paraId="6532D2B8" w14:textId="77777777" w:rsidR="00496C86" w:rsidRPr="009D5A2B" w:rsidRDefault="00496C86" w:rsidP="009B250C">
      <w:pPr>
        <w:spacing w:after="0" w:line="240" w:lineRule="auto"/>
      </w:pPr>
      <w:r w:rsidRPr="009D5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6A02" w14:textId="4D2EDA7D" w:rsidR="009B250C" w:rsidRPr="009D5A2B" w:rsidRDefault="009B250C" w:rsidP="009B250C">
    <w:pPr>
      <w:pStyle w:val="Pis"/>
      <w:jc w:val="right"/>
      <w:rPr>
        <w:rFonts w:ascii="IBM Plex Sans" w:hAnsi="IBM Plex Sans"/>
        <w:sz w:val="20"/>
        <w:szCs w:val="20"/>
      </w:rPr>
    </w:pPr>
    <w:r w:rsidRPr="009D5A2B">
      <w:rPr>
        <w:rFonts w:ascii="IBM Plex Sans" w:hAnsi="IBM Plex Sans"/>
        <w:sz w:val="20"/>
        <w:szCs w:val="20"/>
      </w:rPr>
      <w:t xml:space="preserve">Lisa 1 Vormsi Vallavolikogu </w:t>
    </w:r>
  </w:p>
  <w:p w14:paraId="65E7144E" w14:textId="4DA9A006" w:rsidR="009B250C" w:rsidRPr="009D5A2B" w:rsidRDefault="009B250C" w:rsidP="009B250C">
    <w:pPr>
      <w:pStyle w:val="Pis"/>
      <w:jc w:val="right"/>
      <w:rPr>
        <w:rFonts w:ascii="IBM Plex Sans" w:hAnsi="IBM Plex Sans"/>
        <w:sz w:val="20"/>
        <w:szCs w:val="20"/>
      </w:rPr>
    </w:pPr>
    <w:r w:rsidRPr="009D5A2B">
      <w:rPr>
        <w:rFonts w:ascii="IBM Plex Sans" w:hAnsi="IBM Plex Sans"/>
        <w:sz w:val="20"/>
        <w:szCs w:val="20"/>
      </w:rPr>
      <w:t xml:space="preserve">otsuse nr </w:t>
    </w:r>
    <w:r w:rsidRPr="009D5A2B">
      <w:rPr>
        <w:rFonts w:ascii="IBM Plex Sans" w:hAnsi="IBM Plex Sans"/>
        <w:color w:val="FF0000"/>
        <w:sz w:val="20"/>
        <w:szCs w:val="20"/>
      </w:rPr>
      <w:t>xx</w:t>
    </w:r>
    <w:r w:rsidRPr="009D5A2B">
      <w:rPr>
        <w:rFonts w:ascii="IBM Plex Sans" w:hAnsi="IBM Plex Sans"/>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3E2"/>
    <w:multiLevelType w:val="hybridMultilevel"/>
    <w:tmpl w:val="320C68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6D02700"/>
    <w:multiLevelType w:val="hybridMultilevel"/>
    <w:tmpl w:val="852C866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E40EFE"/>
    <w:multiLevelType w:val="multilevel"/>
    <w:tmpl w:val="8C24AF80"/>
    <w:lvl w:ilvl="0">
      <w:start w:val="1"/>
      <w:numFmt w:val="bullet"/>
      <w:lvlText w:val="•"/>
      <w:lvlJc w:val="left"/>
      <w:pPr>
        <w:tabs>
          <w:tab w:val="num" w:pos="0"/>
        </w:tabs>
        <w:ind w:left="720" w:hanging="500"/>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1">
      <w:start w:val="1"/>
      <w:numFmt w:val="bullet"/>
      <w:lvlText w:val="•"/>
      <w:lvlJc w:val="left"/>
      <w:pPr>
        <w:tabs>
          <w:tab w:val="num" w:pos="0"/>
        </w:tabs>
        <w:ind w:left="75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2">
      <w:start w:val="1"/>
      <w:numFmt w:val="bullet"/>
      <w:lvlText w:val="•"/>
      <w:lvlJc w:val="left"/>
      <w:pPr>
        <w:tabs>
          <w:tab w:val="num" w:pos="0"/>
        </w:tabs>
        <w:ind w:left="97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3">
      <w:start w:val="1"/>
      <w:numFmt w:val="bullet"/>
      <w:lvlText w:val="•"/>
      <w:lvlJc w:val="left"/>
      <w:pPr>
        <w:tabs>
          <w:tab w:val="num" w:pos="0"/>
        </w:tabs>
        <w:ind w:left="119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4">
      <w:start w:val="1"/>
      <w:numFmt w:val="bullet"/>
      <w:lvlText w:val="•"/>
      <w:lvlJc w:val="left"/>
      <w:pPr>
        <w:tabs>
          <w:tab w:val="num" w:pos="0"/>
        </w:tabs>
        <w:ind w:left="141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5">
      <w:start w:val="1"/>
      <w:numFmt w:val="bullet"/>
      <w:lvlText w:val="•"/>
      <w:lvlJc w:val="left"/>
      <w:pPr>
        <w:tabs>
          <w:tab w:val="num" w:pos="0"/>
        </w:tabs>
        <w:ind w:left="163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6">
      <w:start w:val="1"/>
      <w:numFmt w:val="bullet"/>
      <w:lvlText w:val="•"/>
      <w:lvlJc w:val="left"/>
      <w:pPr>
        <w:tabs>
          <w:tab w:val="num" w:pos="0"/>
        </w:tabs>
        <w:ind w:left="185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7">
      <w:start w:val="1"/>
      <w:numFmt w:val="bullet"/>
      <w:lvlText w:val="•"/>
      <w:lvlJc w:val="left"/>
      <w:pPr>
        <w:tabs>
          <w:tab w:val="num" w:pos="0"/>
        </w:tabs>
        <w:ind w:left="207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lvl w:ilvl="8">
      <w:start w:val="1"/>
      <w:numFmt w:val="bullet"/>
      <w:lvlText w:val="•"/>
      <w:lvlJc w:val="left"/>
      <w:pPr>
        <w:tabs>
          <w:tab w:val="num" w:pos="0"/>
        </w:tabs>
        <w:ind w:left="2293" w:hanging="313"/>
      </w:pPr>
      <w:rPr>
        <w:rFonts w:ascii="Calibri" w:hAnsi="Calibri" w:cs="Calibri" w:hint="default"/>
        <w:b w:val="0"/>
        <w:bCs w:val="0"/>
        <w:i w:val="0"/>
        <w:iCs w:val="0"/>
        <w:caps w:val="0"/>
        <w:smallCaps w:val="0"/>
        <w:strike w:val="0"/>
        <w:dstrike w:val="0"/>
        <w:outline w:val="0"/>
        <w:emboss w:val="0"/>
        <w:imprint w:val="0"/>
        <w:color w:val="000000"/>
        <w:spacing w:val="0"/>
        <w:w w:val="100"/>
        <w:kern w:val="0"/>
        <w:position w:val="0"/>
        <w:sz w:val="20"/>
        <w:vertAlign w:val="baseline"/>
      </w:rPr>
    </w:lvl>
  </w:abstractNum>
  <w:abstractNum w:abstractNumId="3" w15:restartNumberingAfterBreak="0">
    <w:nsid w:val="452B4F54"/>
    <w:multiLevelType w:val="hybridMultilevel"/>
    <w:tmpl w:val="C0EEEC02"/>
    <w:lvl w:ilvl="0" w:tplc="FFFFFFFF">
      <w:start w:val="1"/>
      <w:numFmt w:val="bullet"/>
      <w:pStyle w:val="Loetelu"/>
      <w:lvlText w:val=""/>
      <w:lvlJc w:val="left"/>
      <w:pPr>
        <w:ind w:left="644" w:hanging="360"/>
      </w:pPr>
      <w:rPr>
        <w:rFonts w:ascii="Wingdings" w:hAnsi="Wingdings" w:hint="default"/>
        <w:color w:val="388600"/>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F880DBC"/>
    <w:multiLevelType w:val="hybridMultilevel"/>
    <w:tmpl w:val="9EC6987A"/>
    <w:numStyleLink w:val="Bullets"/>
  </w:abstractNum>
  <w:abstractNum w:abstractNumId="5" w15:restartNumberingAfterBreak="0">
    <w:nsid w:val="74496FE7"/>
    <w:multiLevelType w:val="hybridMultilevel"/>
    <w:tmpl w:val="A2BA38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96D12AE"/>
    <w:multiLevelType w:val="hybridMultilevel"/>
    <w:tmpl w:val="9EC6987A"/>
    <w:styleLink w:val="Bullets"/>
    <w:lvl w:ilvl="0" w:tplc="0F7A374A">
      <w:start w:val="1"/>
      <w:numFmt w:val="bullet"/>
      <w:lvlText w:val="•"/>
      <w:lvlJc w:val="left"/>
      <w:pPr>
        <w:ind w:left="7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83E906E">
      <w:start w:val="1"/>
      <w:numFmt w:val="bullet"/>
      <w:lvlText w:val="•"/>
      <w:lvlJc w:val="left"/>
      <w:pPr>
        <w:ind w:left="75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770BBDE">
      <w:start w:val="1"/>
      <w:numFmt w:val="bullet"/>
      <w:lvlText w:val="•"/>
      <w:lvlJc w:val="left"/>
      <w:pPr>
        <w:ind w:left="97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D05866">
      <w:start w:val="1"/>
      <w:numFmt w:val="bullet"/>
      <w:lvlText w:val="•"/>
      <w:lvlJc w:val="left"/>
      <w:pPr>
        <w:ind w:left="119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E3279E6">
      <w:start w:val="1"/>
      <w:numFmt w:val="bullet"/>
      <w:lvlText w:val="•"/>
      <w:lvlJc w:val="left"/>
      <w:pPr>
        <w:ind w:left="141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5826D40">
      <w:start w:val="1"/>
      <w:numFmt w:val="bullet"/>
      <w:lvlText w:val="•"/>
      <w:lvlJc w:val="left"/>
      <w:pPr>
        <w:ind w:left="163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4CA7EB2">
      <w:start w:val="1"/>
      <w:numFmt w:val="bullet"/>
      <w:lvlText w:val="•"/>
      <w:lvlJc w:val="left"/>
      <w:pPr>
        <w:ind w:left="185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88050D8">
      <w:start w:val="1"/>
      <w:numFmt w:val="bullet"/>
      <w:lvlText w:val="•"/>
      <w:lvlJc w:val="left"/>
      <w:pPr>
        <w:ind w:left="207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B2004FE">
      <w:start w:val="1"/>
      <w:numFmt w:val="bullet"/>
      <w:lvlText w:val="•"/>
      <w:lvlJc w:val="left"/>
      <w:pPr>
        <w:ind w:left="2293"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590989">
    <w:abstractNumId w:val="6"/>
  </w:num>
  <w:num w:numId="2" w16cid:durableId="455685250">
    <w:abstractNumId w:val="4"/>
  </w:num>
  <w:num w:numId="3" w16cid:durableId="1964266211">
    <w:abstractNumId w:val="0"/>
  </w:num>
  <w:num w:numId="4" w16cid:durableId="1635720768">
    <w:abstractNumId w:val="1"/>
  </w:num>
  <w:num w:numId="5" w16cid:durableId="1697543400">
    <w:abstractNumId w:val="3"/>
  </w:num>
  <w:num w:numId="6" w16cid:durableId="1925797863">
    <w:abstractNumId w:val="5"/>
  </w:num>
  <w:num w:numId="7" w16cid:durableId="1292514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C"/>
    <w:rsid w:val="000012AC"/>
    <w:rsid w:val="00051B1F"/>
    <w:rsid w:val="00074FB5"/>
    <w:rsid w:val="000A512A"/>
    <w:rsid w:val="00146B28"/>
    <w:rsid w:val="00176D3F"/>
    <w:rsid w:val="001779BD"/>
    <w:rsid w:val="00226823"/>
    <w:rsid w:val="002A0676"/>
    <w:rsid w:val="002A3397"/>
    <w:rsid w:val="00412286"/>
    <w:rsid w:val="00421A00"/>
    <w:rsid w:val="00482A28"/>
    <w:rsid w:val="00496C86"/>
    <w:rsid w:val="00505DCA"/>
    <w:rsid w:val="0053698D"/>
    <w:rsid w:val="0056391B"/>
    <w:rsid w:val="0063233C"/>
    <w:rsid w:val="006F3C01"/>
    <w:rsid w:val="00711294"/>
    <w:rsid w:val="00722518"/>
    <w:rsid w:val="00741375"/>
    <w:rsid w:val="007448F8"/>
    <w:rsid w:val="007C6D3D"/>
    <w:rsid w:val="00904E89"/>
    <w:rsid w:val="00936435"/>
    <w:rsid w:val="00955F26"/>
    <w:rsid w:val="00961255"/>
    <w:rsid w:val="009A02DD"/>
    <w:rsid w:val="009B250C"/>
    <w:rsid w:val="009D5A2B"/>
    <w:rsid w:val="00B700AC"/>
    <w:rsid w:val="00BA6593"/>
    <w:rsid w:val="00BD096B"/>
    <w:rsid w:val="00C609D9"/>
    <w:rsid w:val="00C835FF"/>
    <w:rsid w:val="00D14926"/>
    <w:rsid w:val="00F36980"/>
    <w:rsid w:val="00FC5A11"/>
    <w:rsid w:val="00FD73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8769"/>
  <w15:chartTrackingRefBased/>
  <w15:docId w15:val="{90C4FE99-AABD-4F0A-AD1B-8409F29F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46B28"/>
    <w:rPr>
      <w:rFonts w:ascii="Times New Roman" w:hAnsi="Times New Roman"/>
      <w:noProof/>
      <w:sz w:val="24"/>
    </w:rPr>
  </w:style>
  <w:style w:type="paragraph" w:styleId="Pealkiri1">
    <w:name w:val="heading 1"/>
    <w:basedOn w:val="Normaallaad"/>
    <w:next w:val="Normaallaad"/>
    <w:link w:val="Pealkiri1Mrk"/>
    <w:uiPriority w:val="9"/>
    <w:qFormat/>
    <w:rsid w:val="009B2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9B2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B25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B25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B250C"/>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B25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B250C"/>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9B250C"/>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B250C"/>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B250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B250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B250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B250C"/>
    <w:rPr>
      <w:rFonts w:eastAsiaTheme="majorEastAsia" w:cstheme="majorBidi"/>
      <w:i/>
      <w:iCs/>
      <w:color w:val="2F5496" w:themeColor="accent1" w:themeShade="BF"/>
      <w:sz w:val="24"/>
    </w:rPr>
  </w:style>
  <w:style w:type="character" w:customStyle="1" w:styleId="Pealkiri5Mrk">
    <w:name w:val="Pealkiri 5 Märk"/>
    <w:basedOn w:val="Liguvaikefont"/>
    <w:link w:val="Pealkiri5"/>
    <w:uiPriority w:val="9"/>
    <w:semiHidden/>
    <w:rsid w:val="009B250C"/>
    <w:rPr>
      <w:rFonts w:eastAsiaTheme="majorEastAsia" w:cstheme="majorBidi"/>
      <w:color w:val="2F5496" w:themeColor="accent1" w:themeShade="BF"/>
      <w:sz w:val="24"/>
    </w:rPr>
  </w:style>
  <w:style w:type="character" w:customStyle="1" w:styleId="Pealkiri6Mrk">
    <w:name w:val="Pealkiri 6 Märk"/>
    <w:basedOn w:val="Liguvaikefont"/>
    <w:link w:val="Pealkiri6"/>
    <w:uiPriority w:val="9"/>
    <w:semiHidden/>
    <w:rsid w:val="009B250C"/>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9B250C"/>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9B250C"/>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9B250C"/>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9B2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B250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B25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B250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B250C"/>
    <w:pPr>
      <w:spacing w:before="160"/>
      <w:jc w:val="center"/>
    </w:pPr>
    <w:rPr>
      <w:i/>
      <w:iCs/>
      <w:color w:val="404040" w:themeColor="text1" w:themeTint="BF"/>
    </w:rPr>
  </w:style>
  <w:style w:type="character" w:customStyle="1" w:styleId="TsitaatMrk">
    <w:name w:val="Tsitaat Märk"/>
    <w:basedOn w:val="Liguvaikefont"/>
    <w:link w:val="Tsitaat"/>
    <w:uiPriority w:val="29"/>
    <w:rsid w:val="009B250C"/>
    <w:rPr>
      <w:rFonts w:ascii="Times New Roman" w:hAnsi="Times New Roman"/>
      <w:i/>
      <w:iCs/>
      <w:color w:val="404040" w:themeColor="text1" w:themeTint="BF"/>
      <w:sz w:val="24"/>
    </w:rPr>
  </w:style>
  <w:style w:type="paragraph" w:styleId="Loendilik">
    <w:name w:val="List Paragraph"/>
    <w:basedOn w:val="Normaallaad"/>
    <w:uiPriority w:val="34"/>
    <w:qFormat/>
    <w:rsid w:val="009B250C"/>
    <w:pPr>
      <w:ind w:left="720"/>
      <w:contextualSpacing/>
    </w:pPr>
  </w:style>
  <w:style w:type="character" w:styleId="Selgeltmrgatavrhutus">
    <w:name w:val="Intense Emphasis"/>
    <w:basedOn w:val="Liguvaikefont"/>
    <w:uiPriority w:val="21"/>
    <w:qFormat/>
    <w:rsid w:val="009B250C"/>
    <w:rPr>
      <w:i/>
      <w:iCs/>
      <w:color w:val="2F5496" w:themeColor="accent1" w:themeShade="BF"/>
    </w:rPr>
  </w:style>
  <w:style w:type="paragraph" w:styleId="Selgeltmrgatavtsitaat">
    <w:name w:val="Intense Quote"/>
    <w:basedOn w:val="Normaallaad"/>
    <w:next w:val="Normaallaad"/>
    <w:link w:val="SelgeltmrgatavtsitaatMrk"/>
    <w:uiPriority w:val="30"/>
    <w:qFormat/>
    <w:rsid w:val="009B2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B250C"/>
    <w:rPr>
      <w:rFonts w:ascii="Times New Roman" w:hAnsi="Times New Roman"/>
      <w:i/>
      <w:iCs/>
      <w:color w:val="2F5496" w:themeColor="accent1" w:themeShade="BF"/>
      <w:sz w:val="24"/>
    </w:rPr>
  </w:style>
  <w:style w:type="character" w:styleId="Selgeltmrgatavviide">
    <w:name w:val="Intense Reference"/>
    <w:basedOn w:val="Liguvaikefont"/>
    <w:uiPriority w:val="32"/>
    <w:qFormat/>
    <w:rsid w:val="009B250C"/>
    <w:rPr>
      <w:b/>
      <w:bCs/>
      <w:smallCaps/>
      <w:color w:val="2F5496" w:themeColor="accent1" w:themeShade="BF"/>
      <w:spacing w:val="5"/>
    </w:rPr>
  </w:style>
  <w:style w:type="paragraph" w:customStyle="1" w:styleId="Default">
    <w:name w:val="Default"/>
    <w:qFormat/>
    <w:rsid w:val="009B250C"/>
    <w:pPr>
      <w:pBdr>
        <w:top w:val="nil"/>
        <w:left w:val="nil"/>
        <w:bottom w:val="nil"/>
        <w:right w:val="nil"/>
        <w:between w:val="nil"/>
        <w:bar w:val="nil"/>
      </w:pBdr>
      <w:spacing w:before="160" w:after="0" w:line="288" w:lineRule="auto"/>
      <w:ind w:right="567"/>
    </w:pPr>
    <w:rPr>
      <w:rFonts w:ascii="Helvetica Neue" w:eastAsia="Arial Unicode MS" w:hAnsi="Helvetica Neue" w:cs="Arial Unicode MS"/>
      <w:color w:val="000000"/>
      <w:kern w:val="0"/>
      <w:sz w:val="24"/>
      <w:szCs w:val="24"/>
      <w:u w:color="000000"/>
      <w:bdr w:val="nil"/>
      <w:lang w:val="en-US" w:eastAsia="et-EE"/>
      <w14:textOutline w14:w="12700" w14:cap="flat" w14:cmpd="sng" w14:algn="ctr">
        <w14:noFill/>
        <w14:prstDash w14:val="solid"/>
        <w14:miter w14:lim="400000"/>
      </w14:textOutline>
      <w14:ligatures w14:val="none"/>
    </w:rPr>
  </w:style>
  <w:style w:type="numbering" w:customStyle="1" w:styleId="Bullets">
    <w:name w:val="Bullets"/>
    <w:rsid w:val="009B250C"/>
    <w:pPr>
      <w:numPr>
        <w:numId w:val="1"/>
      </w:numPr>
    </w:pPr>
  </w:style>
  <w:style w:type="paragraph" w:styleId="Pis">
    <w:name w:val="header"/>
    <w:basedOn w:val="Normaallaad"/>
    <w:link w:val="PisMrk"/>
    <w:uiPriority w:val="99"/>
    <w:unhideWhenUsed/>
    <w:rsid w:val="009B250C"/>
    <w:pPr>
      <w:tabs>
        <w:tab w:val="center" w:pos="4513"/>
        <w:tab w:val="right" w:pos="9026"/>
      </w:tabs>
      <w:spacing w:after="0" w:line="240" w:lineRule="auto"/>
    </w:pPr>
  </w:style>
  <w:style w:type="character" w:customStyle="1" w:styleId="PisMrk">
    <w:name w:val="Päis Märk"/>
    <w:basedOn w:val="Liguvaikefont"/>
    <w:link w:val="Pis"/>
    <w:uiPriority w:val="99"/>
    <w:rsid w:val="009B250C"/>
    <w:rPr>
      <w:rFonts w:ascii="Times New Roman" w:hAnsi="Times New Roman"/>
      <w:sz w:val="24"/>
    </w:rPr>
  </w:style>
  <w:style w:type="paragraph" w:styleId="Jalus">
    <w:name w:val="footer"/>
    <w:basedOn w:val="Normaallaad"/>
    <w:link w:val="JalusMrk"/>
    <w:uiPriority w:val="99"/>
    <w:unhideWhenUsed/>
    <w:rsid w:val="009B250C"/>
    <w:pPr>
      <w:tabs>
        <w:tab w:val="center" w:pos="4513"/>
        <w:tab w:val="right" w:pos="9026"/>
      </w:tabs>
      <w:spacing w:after="0" w:line="240" w:lineRule="auto"/>
    </w:pPr>
  </w:style>
  <w:style w:type="character" w:customStyle="1" w:styleId="JalusMrk">
    <w:name w:val="Jalus Märk"/>
    <w:basedOn w:val="Liguvaikefont"/>
    <w:link w:val="Jalus"/>
    <w:uiPriority w:val="99"/>
    <w:rsid w:val="009B250C"/>
    <w:rPr>
      <w:rFonts w:ascii="Times New Roman" w:hAnsi="Times New Roman"/>
      <w:sz w:val="24"/>
    </w:rPr>
  </w:style>
  <w:style w:type="paragraph" w:customStyle="1" w:styleId="Loetelu">
    <w:name w:val="Loetelu"/>
    <w:basedOn w:val="Normaallaad"/>
    <w:qFormat/>
    <w:rsid w:val="00051B1F"/>
    <w:pPr>
      <w:numPr>
        <w:numId w:val="5"/>
      </w:numPr>
      <w:spacing w:after="0" w:line="360" w:lineRule="auto"/>
      <w:jc w:val="both"/>
    </w:pPr>
    <w:rPr>
      <w:rFonts w:ascii="Arial" w:eastAsia="Times New Roman" w:hAnsi="Arial" w:cs="Times New Roman"/>
      <w:noProof w:val="0"/>
      <w:kern w:val="0"/>
      <w:sz w:val="20"/>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1507</Words>
  <Characters>8746</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4</cp:revision>
  <dcterms:created xsi:type="dcterms:W3CDTF">2025-03-19T09:10:00Z</dcterms:created>
  <dcterms:modified xsi:type="dcterms:W3CDTF">2025-08-06T08:52:00Z</dcterms:modified>
</cp:coreProperties>
</file>